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397504" w:rsidRPr="001F03DE" w:rsidRDefault="00397504" w:rsidP="00397504">
      <w:pPr>
        <w:pStyle w:val="DocumentLabel"/>
        <w:rPr>
          <w:sz w:val="20"/>
        </w:rPr>
      </w:pPr>
    </w:p>
    <w:p w:rsidR="00397504" w:rsidRPr="000B71F2" w:rsidRDefault="00397504" w:rsidP="00397504">
      <w:pPr>
        <w:pStyle w:val="DocumentLabel"/>
        <w:rPr>
          <w:sz w:val="30"/>
          <w:szCs w:val="30"/>
        </w:rPr>
      </w:pPr>
      <w:r w:rsidRPr="000B71F2">
        <w:rPr>
          <w:sz w:val="30"/>
          <w:szCs w:val="30"/>
        </w:rPr>
        <w:t>colleGE OF APPLIED SCIENCE &amp; tECHNOLOGY</w:t>
      </w:r>
    </w:p>
    <w:p w:rsidR="00FC7D3A" w:rsidRPr="004C5361" w:rsidRDefault="00FC7D3A" w:rsidP="001634DB">
      <w:pPr>
        <w:rPr>
          <w:szCs w:val="20"/>
          <w:lang w:eastAsia="ar-SA"/>
        </w:rPr>
      </w:pPr>
    </w:p>
    <w:p w:rsidR="008E165F" w:rsidRPr="00D117DD" w:rsidRDefault="008E165F" w:rsidP="008E165F">
      <w:pPr>
        <w:jc w:val="center"/>
        <w:rPr>
          <w:b/>
          <w:lang w:eastAsia="ar-SA"/>
        </w:rPr>
      </w:pPr>
      <w:r w:rsidRPr="00D117DD">
        <w:rPr>
          <w:b/>
          <w:lang w:eastAsia="ar-SA"/>
        </w:rPr>
        <w:t xml:space="preserve">Department of Civil Engineering Technology, Environmental Management </w:t>
      </w:r>
      <w:r>
        <w:rPr>
          <w:b/>
          <w:lang w:eastAsia="ar-SA"/>
        </w:rPr>
        <w:t xml:space="preserve">and </w:t>
      </w:r>
      <w:r w:rsidRPr="00D117DD">
        <w:rPr>
          <w:b/>
          <w:lang w:eastAsia="ar-SA"/>
        </w:rPr>
        <w:t>Safety</w:t>
      </w:r>
    </w:p>
    <w:p w:rsidR="008E165F" w:rsidRDefault="008E165F"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E165F">
        <w:rPr>
          <w:lang w:eastAsia="ar-SA"/>
        </w:rPr>
        <w:t>Construction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10214"/>
      </w:tblGrid>
      <w:tr w:rsidR="005F3769" w:rsidTr="000A44C0">
        <w:tc>
          <w:tcPr>
            <w:tcW w:w="10278" w:type="dxa"/>
          </w:tcPr>
          <w:p w:rsidR="005F3769" w:rsidRPr="00CB5224" w:rsidRDefault="00397504" w:rsidP="00CB5224">
            <w:pPr>
              <w:spacing w:after="120" w:line="240" w:lineRule="atLeast"/>
              <w:rPr>
                <w:rFonts w:asciiTheme="minorHAnsi" w:eastAsiaTheme="minorHAnsi" w:hAnsiTheme="minorHAnsi" w:cstheme="minorBidi"/>
                <w:sz w:val="22"/>
                <w:szCs w:val="22"/>
              </w:rPr>
            </w:pPr>
            <w:r w:rsidRPr="000A63DB">
              <w:t>The construction management minor broadens the learning experiences and professional opportunities of students who have an interest in building construction, bid development, management of construction projects after a successful bid, and the business, management, and technical aspects related to construction.</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1"/>
        <w:gridCol w:w="2418"/>
        <w:gridCol w:w="3755"/>
      </w:tblGrid>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378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3780" w:type="dxa"/>
          </w:tcPr>
          <w:p w:rsidR="002C479A" w:rsidRPr="00C2660B" w:rsidRDefault="002C479A" w:rsidP="0056483D">
            <w:pPr>
              <w:pStyle w:val="NoSpacing"/>
              <w:rPr>
                <w:rFonts w:ascii="Times New Roman" w:hAnsi="Times New Roman"/>
                <w:sz w:val="24"/>
                <w:szCs w:val="24"/>
                <w:lang w:eastAsia="ar-SA"/>
              </w:rPr>
            </w:pPr>
          </w:p>
        </w:tc>
      </w:tr>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3780" w:type="dxa"/>
          </w:tcPr>
          <w:p w:rsidR="002C479A" w:rsidRPr="00C2660B" w:rsidRDefault="003E632B" w:rsidP="0056483D">
            <w:pPr>
              <w:pStyle w:val="NoSpacing"/>
              <w:rPr>
                <w:rFonts w:ascii="Times New Roman" w:hAnsi="Times New Roman"/>
                <w:sz w:val="24"/>
                <w:szCs w:val="24"/>
                <w:lang w:eastAsia="ar-SA"/>
              </w:rPr>
            </w:pPr>
            <w:r>
              <w:rPr>
                <w:rFonts w:ascii="Times New Roman" w:hAnsi="Times New Roman"/>
                <w:sz w:val="24"/>
                <w:szCs w:val="24"/>
                <w:lang w:eastAsia="ar-SA"/>
              </w:rPr>
              <w:t>Aug 2013 (based on last course catalog update in SIS)</w:t>
            </w:r>
          </w:p>
        </w:tc>
      </w:tr>
      <w:tr w:rsidR="0022219C" w:rsidRPr="00C2660B" w:rsidTr="000A44C0">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378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10214"/>
      </w:tblGrid>
      <w:tr w:rsidR="00B76275" w:rsidRPr="00C2660B" w:rsidTr="000A44C0">
        <w:tc>
          <w:tcPr>
            <w:tcW w:w="10278" w:type="dxa"/>
          </w:tcPr>
          <w:p w:rsidR="004C5361" w:rsidRPr="00CB5224" w:rsidRDefault="00FD60ED" w:rsidP="00FD60ED">
            <w:pPr>
              <w:spacing w:after="120" w:line="240" w:lineRule="atLeast"/>
              <w:rPr>
                <w:rFonts w:asciiTheme="minorHAnsi" w:eastAsiaTheme="minorHAnsi" w:hAnsiTheme="minorHAnsi" w:cstheme="minorBidi"/>
                <w:sz w:val="22"/>
                <w:szCs w:val="22"/>
              </w:rPr>
            </w:pPr>
            <w:r>
              <w:t>This sequence of construction m</w:t>
            </w:r>
            <w:r w:rsidRPr="00FD60ED">
              <w:t>anagement</w:t>
            </w:r>
            <w:r>
              <w:t xml:space="preserve"> courses</w:t>
            </w:r>
            <w:r w:rsidRPr="00FD60ED">
              <w:t xml:space="preserve"> minor will </w:t>
            </w:r>
            <w:r>
              <w:t xml:space="preserve">provide students with a solid grounding in the elements of </w:t>
            </w:r>
            <w:r w:rsidRPr="00FD60ED">
              <w:t xml:space="preserve">building construction, </w:t>
            </w:r>
            <w:r>
              <w:t xml:space="preserve">commonly used </w:t>
            </w:r>
            <w:r w:rsidRPr="00FD60ED">
              <w:t>cost estimating</w:t>
            </w:r>
            <w:r>
              <w:t xml:space="preserve"> techniques and programs</w:t>
            </w:r>
            <w:r w:rsidRPr="00FD60ED">
              <w:t xml:space="preserve">, construction project management, </w:t>
            </w:r>
            <w:r>
              <w:t>construction</w:t>
            </w:r>
            <w:r w:rsidRPr="00FD60ED">
              <w:t xml:space="preserve"> business, management and </w:t>
            </w:r>
            <w:r>
              <w:t xml:space="preserve">various </w:t>
            </w:r>
            <w:r w:rsidRPr="00FD60ED">
              <w:t>technical aspects related to construction.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10214"/>
      </w:tblGrid>
      <w:tr w:rsidR="009505CA" w:rsidRPr="00C2660B" w:rsidTr="000A44C0">
        <w:tc>
          <w:tcPr>
            <w:tcW w:w="10278" w:type="dxa"/>
          </w:tcPr>
          <w:p w:rsidR="009505CA" w:rsidRPr="00C2660B" w:rsidRDefault="009505CA" w:rsidP="00CB5224">
            <w:pPr>
              <w:pStyle w:val="NoSpacing"/>
              <w:rPr>
                <w:rFonts w:ascii="Times New Roman" w:hAnsi="Times New Roman"/>
                <w:sz w:val="24"/>
                <w:szCs w:val="24"/>
              </w:rPr>
            </w:pPr>
          </w:p>
          <w:p w:rsidR="004C5361" w:rsidRPr="00C2660B" w:rsidRDefault="002752ED" w:rsidP="00CB5224">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tbl>
      <w:tblPr>
        <w:tblStyle w:val="TableGrid"/>
        <w:tblW w:w="0" w:type="auto"/>
        <w:tblLook w:val="04A0" w:firstRow="1" w:lastRow="0" w:firstColumn="1" w:lastColumn="0" w:noHBand="0" w:noVBand="1"/>
      </w:tblPr>
      <w:tblGrid>
        <w:gridCol w:w="10214"/>
      </w:tblGrid>
      <w:tr w:rsidR="005E7FD9" w:rsidRPr="00C2660B" w:rsidTr="000A44C0">
        <w:tc>
          <w:tcPr>
            <w:tcW w:w="10278" w:type="dxa"/>
          </w:tcPr>
          <w:p w:rsidR="004C5361" w:rsidRPr="00C2660B" w:rsidRDefault="00CB5224" w:rsidP="00C742E0">
            <w:pPr>
              <w:spacing w:after="120" w:line="240" w:lineRule="atLeast"/>
            </w:pPr>
            <w:r w:rsidRPr="00FD60ED">
              <w:t>Civil Engineering Technology undergraduate students are ineligible to pursue this minor.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10214"/>
      </w:tblGrid>
      <w:tr w:rsidR="00424A0E" w:rsidRPr="00C2660B" w:rsidTr="000A44C0">
        <w:tc>
          <w:tcPr>
            <w:tcW w:w="10278" w:type="dxa"/>
          </w:tcPr>
          <w:p w:rsidR="00FD60ED" w:rsidRDefault="00FD60ED" w:rsidP="00FD60ED">
            <w:pPr>
              <w:pStyle w:val="NoSpacing"/>
              <w:rPr>
                <w:rFonts w:ascii="Times New Roman" w:hAnsi="Times New Roman"/>
                <w:sz w:val="24"/>
                <w:szCs w:val="24"/>
              </w:rPr>
            </w:pPr>
            <w:r w:rsidRPr="00FD60ED">
              <w:rPr>
                <w:rFonts w:ascii="Times New Roman" w:hAnsi="Times New Roman"/>
                <w:sz w:val="24"/>
                <w:szCs w:val="24"/>
              </w:rPr>
              <w:t>The sequence of courses begins by familiarizing students with the various components of commercial and residential buildings, the components interaction with each other, and the interplay between owner, architect, builder, and others. It then introduces direct cost estimating for construction projects and covers aspects of construction project management. Students then choose two electives that coincide which best correspond to their construction management interest.</w:t>
            </w:r>
          </w:p>
          <w:p w:rsidR="004C5361" w:rsidRPr="007E4584" w:rsidRDefault="00CB5224" w:rsidP="00FD60ED">
            <w:pPr>
              <w:pStyle w:val="NoSpacing"/>
              <w:rPr>
                <w:rFonts w:ascii="Times New Roman" w:hAnsi="Times New Roman"/>
                <w:sz w:val="24"/>
                <w:szCs w:val="24"/>
              </w:rPr>
            </w:pPr>
            <w:r>
              <w:rPr>
                <w:rFonts w:ascii="Times New Roman" w:hAnsi="Times New Roman"/>
                <w:sz w:val="24"/>
                <w:szCs w:val="24"/>
              </w:rPr>
              <w:t>This minor consists of 15 semester credit hours</w:t>
            </w:r>
            <w:r w:rsidR="00FD60ED">
              <w:rPr>
                <w:rFonts w:ascii="Times New Roman" w:hAnsi="Times New Roman"/>
                <w:sz w:val="24"/>
                <w:szCs w:val="24"/>
              </w:rPr>
              <w:t xml:space="preserve">; it </w:t>
            </w:r>
            <w:r>
              <w:rPr>
                <w:rFonts w:ascii="Times New Roman" w:hAnsi="Times New Roman"/>
                <w:sz w:val="24"/>
                <w:szCs w:val="24"/>
              </w:rPr>
              <w:t>is a discipline-based minor</w:t>
            </w:r>
            <w:r w:rsidR="00FD60ED">
              <w:rPr>
                <w:rFonts w:ascii="Times New Roman" w:hAnsi="Times New Roman"/>
                <w:sz w:val="24"/>
                <w:szCs w:val="24"/>
              </w:rPr>
              <w:t xml:space="preserve">, which </w:t>
            </w:r>
            <w:r>
              <w:rPr>
                <w:rFonts w:ascii="Times New Roman" w:hAnsi="Times New Roman"/>
                <w:sz w:val="24"/>
                <w:szCs w:val="24"/>
              </w:rPr>
              <w:t>includes on</w:t>
            </w:r>
            <w:r w:rsidR="007E4584">
              <w:rPr>
                <w:rFonts w:ascii="Times New Roman" w:hAnsi="Times New Roman"/>
                <w:sz w:val="24"/>
                <w:szCs w:val="24"/>
              </w:rPr>
              <w:t>e</w:t>
            </w:r>
            <w:r>
              <w:rPr>
                <w:rFonts w:ascii="Times New Roman" w:hAnsi="Times New Roman"/>
                <w:sz w:val="24"/>
                <w:szCs w:val="24"/>
              </w:rPr>
              <w:t xml:space="preserve"> </w:t>
            </w:r>
            <w:r w:rsidR="007E4584">
              <w:rPr>
                <w:rFonts w:ascii="Times New Roman" w:hAnsi="Times New Roman"/>
                <w:sz w:val="24"/>
                <w:szCs w:val="24"/>
              </w:rPr>
              <w:t>100-level</w:t>
            </w:r>
            <w:r w:rsidR="00FD60ED">
              <w:rPr>
                <w:rFonts w:ascii="Times New Roman" w:hAnsi="Times New Roman"/>
                <w:sz w:val="24"/>
                <w:szCs w:val="24"/>
              </w:rPr>
              <w:t xml:space="preserve">, </w:t>
            </w:r>
            <w:r w:rsidR="007E4584">
              <w:rPr>
                <w:rFonts w:ascii="Times New Roman" w:hAnsi="Times New Roman"/>
                <w:sz w:val="24"/>
                <w:szCs w:val="24"/>
              </w:rPr>
              <w:t>two 4</w:t>
            </w:r>
            <w:r>
              <w:rPr>
                <w:rFonts w:ascii="Times New Roman" w:hAnsi="Times New Roman"/>
                <w:sz w:val="24"/>
                <w:szCs w:val="24"/>
              </w:rPr>
              <w:t xml:space="preserve">00-level </w:t>
            </w:r>
            <w:r w:rsidR="007E4584">
              <w:rPr>
                <w:rFonts w:ascii="Times New Roman" w:hAnsi="Times New Roman"/>
                <w:sz w:val="24"/>
                <w:szCs w:val="24"/>
              </w:rPr>
              <w:t>required courses and</w:t>
            </w:r>
            <w:r w:rsidR="00CE4FD3">
              <w:rPr>
                <w:rFonts w:ascii="Times New Roman" w:hAnsi="Times New Roman"/>
                <w:sz w:val="24"/>
                <w:szCs w:val="24"/>
              </w:rPr>
              <w:t xml:space="preserve"> two</w:t>
            </w:r>
            <w:r>
              <w:rPr>
                <w:rFonts w:ascii="Times New Roman" w:hAnsi="Times New Roman"/>
                <w:sz w:val="24"/>
                <w:szCs w:val="24"/>
              </w:rPr>
              <w:t xml:space="preserve"> </w:t>
            </w:r>
            <w:r w:rsidR="007E4584">
              <w:rPr>
                <w:rFonts w:ascii="Times New Roman" w:hAnsi="Times New Roman"/>
                <w:sz w:val="24"/>
                <w:szCs w:val="24"/>
              </w:rPr>
              <w:t xml:space="preserve">300 or </w:t>
            </w:r>
            <w:r>
              <w:rPr>
                <w:rFonts w:ascii="Times New Roman" w:hAnsi="Times New Roman"/>
                <w:sz w:val="24"/>
                <w:szCs w:val="24"/>
              </w:rPr>
              <w:t xml:space="preserve">400-level </w:t>
            </w:r>
            <w:r w:rsidR="007E4584">
              <w:rPr>
                <w:rFonts w:ascii="Times New Roman" w:hAnsi="Times New Roman"/>
                <w:sz w:val="24"/>
                <w:szCs w:val="24"/>
              </w:rPr>
              <w:t xml:space="preserve">elective </w:t>
            </w:r>
            <w:r>
              <w:rPr>
                <w:rFonts w:ascii="Times New Roman" w:hAnsi="Times New Roman"/>
                <w:sz w:val="24"/>
                <w:szCs w:val="24"/>
              </w:rPr>
              <w:t>courses.</w:t>
            </w:r>
            <w:r w:rsidR="00FD60ED">
              <w:rPr>
                <w:rFonts w:ascii="Times New Roman" w:hAnsi="Times New Roman"/>
                <w:sz w:val="24"/>
                <w:szCs w:val="24"/>
              </w:rPr>
              <w:t xml:space="preserve"> </w:t>
            </w:r>
            <w:r w:rsidRPr="007868EF">
              <w:rPr>
                <w:rFonts w:ascii="Times New Roman" w:hAnsi="Times New Roman"/>
                <w:sz w:val="24"/>
                <w:szCs w:val="24"/>
              </w:rPr>
              <w:t>All courses are offered at least once each year.</w:t>
            </w:r>
          </w:p>
        </w:tc>
      </w:tr>
    </w:tbl>
    <w:p w:rsidR="00424A0E" w:rsidRPr="00C2660B" w:rsidRDefault="00424A0E" w:rsidP="00F71169">
      <w:pPr>
        <w:pStyle w:val="NoSpacing"/>
        <w:rPr>
          <w:rFonts w:ascii="Times New Roman" w:hAnsi="Times New Roman"/>
          <w:sz w:val="24"/>
          <w:szCs w:val="24"/>
        </w:rPr>
      </w:pPr>
    </w:p>
    <w:tbl>
      <w:tblPr>
        <w:tblStyle w:val="TableGrid"/>
        <w:tblW w:w="10278" w:type="dxa"/>
        <w:tblLayout w:type="fixed"/>
        <w:tblLook w:val="04A0" w:firstRow="1" w:lastRow="0" w:firstColumn="1" w:lastColumn="0" w:noHBand="0" w:noVBand="1"/>
      </w:tblPr>
      <w:tblGrid>
        <w:gridCol w:w="3528"/>
        <w:gridCol w:w="630"/>
        <w:gridCol w:w="1080"/>
        <w:gridCol w:w="1080"/>
        <w:gridCol w:w="540"/>
        <w:gridCol w:w="810"/>
        <w:gridCol w:w="990"/>
        <w:gridCol w:w="1620"/>
      </w:tblGrid>
      <w:tr w:rsidR="007E4584" w:rsidRPr="00C2660B" w:rsidTr="0052523B">
        <w:tc>
          <w:tcPr>
            <w:tcW w:w="3528"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Course Number &amp; Title</w:t>
            </w:r>
          </w:p>
        </w:tc>
        <w:tc>
          <w:tcPr>
            <w:tcW w:w="63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SCH</w:t>
            </w:r>
          </w:p>
        </w:tc>
        <w:tc>
          <w:tcPr>
            <w:tcW w:w="108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Required</w:t>
            </w:r>
          </w:p>
        </w:tc>
        <w:tc>
          <w:tcPr>
            <w:tcW w:w="108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Optional</w:t>
            </w:r>
            <w:r w:rsidR="007E4584" w:rsidRPr="00A23824">
              <w:rPr>
                <w:rFonts w:asciiTheme="majorHAnsi" w:hAnsiTheme="majorHAnsi"/>
                <w:sz w:val="20"/>
                <w:szCs w:val="20"/>
              </w:rPr>
              <w:t xml:space="preserve"> (Elective)</w:t>
            </w:r>
          </w:p>
        </w:tc>
        <w:tc>
          <w:tcPr>
            <w:tcW w:w="54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Fall</w:t>
            </w:r>
          </w:p>
        </w:tc>
        <w:tc>
          <w:tcPr>
            <w:tcW w:w="81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Spring</w:t>
            </w:r>
          </w:p>
        </w:tc>
        <w:tc>
          <w:tcPr>
            <w:tcW w:w="990" w:type="dxa"/>
          </w:tcPr>
          <w:p w:rsidR="00A927E3" w:rsidRPr="00A23824" w:rsidRDefault="005F3769" w:rsidP="005F3769">
            <w:pPr>
              <w:pStyle w:val="NoSpacing"/>
              <w:rPr>
                <w:rFonts w:asciiTheme="majorHAnsi" w:hAnsiTheme="majorHAnsi"/>
                <w:sz w:val="20"/>
                <w:szCs w:val="20"/>
              </w:rPr>
            </w:pPr>
            <w:r w:rsidRPr="00A23824">
              <w:rPr>
                <w:rFonts w:asciiTheme="majorHAnsi" w:hAnsiTheme="majorHAnsi"/>
                <w:sz w:val="20"/>
                <w:szCs w:val="20"/>
              </w:rPr>
              <w:t>Annual/Bie</w:t>
            </w:r>
            <w:r w:rsidR="00A927E3" w:rsidRPr="00A23824">
              <w:rPr>
                <w:rFonts w:asciiTheme="majorHAnsi" w:hAnsiTheme="majorHAnsi"/>
                <w:sz w:val="20"/>
                <w:szCs w:val="20"/>
              </w:rPr>
              <w:t>n</w:t>
            </w:r>
            <w:r w:rsidR="004C5361" w:rsidRPr="00A23824">
              <w:rPr>
                <w:rFonts w:asciiTheme="majorHAnsi" w:hAnsiTheme="majorHAnsi"/>
                <w:sz w:val="20"/>
                <w:szCs w:val="20"/>
              </w:rPr>
              <w:t>n</w:t>
            </w:r>
            <w:r w:rsidRPr="00A23824">
              <w:rPr>
                <w:rFonts w:asciiTheme="majorHAnsi" w:hAnsiTheme="majorHAnsi"/>
                <w:sz w:val="20"/>
                <w:szCs w:val="20"/>
              </w:rPr>
              <w:t>i</w:t>
            </w:r>
            <w:r w:rsidR="00A927E3" w:rsidRPr="00A23824">
              <w:rPr>
                <w:rFonts w:asciiTheme="majorHAnsi" w:hAnsiTheme="majorHAnsi"/>
                <w:sz w:val="20"/>
                <w:szCs w:val="20"/>
              </w:rPr>
              <w:t>al</w:t>
            </w:r>
          </w:p>
        </w:tc>
        <w:tc>
          <w:tcPr>
            <w:tcW w:w="162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Prerequisites</w:t>
            </w:r>
          </w:p>
        </w:tc>
      </w:tr>
      <w:tr w:rsidR="008246C8" w:rsidRPr="00C2660B" w:rsidTr="0052523B">
        <w:tc>
          <w:tcPr>
            <w:tcW w:w="3528" w:type="dxa"/>
          </w:tcPr>
          <w:p w:rsidR="0052523B" w:rsidRDefault="0052523B" w:rsidP="00F71169">
            <w:pPr>
              <w:pStyle w:val="NoSpacing"/>
              <w:rPr>
                <w:rFonts w:asciiTheme="majorHAnsi" w:hAnsiTheme="majorHAnsi"/>
                <w:sz w:val="20"/>
                <w:szCs w:val="20"/>
              </w:rPr>
            </w:pPr>
            <w:r>
              <w:rPr>
                <w:rFonts w:asciiTheme="majorHAnsi" w:hAnsiTheme="majorHAnsi"/>
                <w:sz w:val="20"/>
                <w:szCs w:val="20"/>
              </w:rPr>
              <w:t>CAST-CVET-170</w:t>
            </w:r>
          </w:p>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Elements of Building Construction</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54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Acceptance in minor</w:t>
            </w:r>
          </w:p>
        </w:tc>
      </w:tr>
      <w:tr w:rsidR="008246C8" w:rsidRPr="00C2660B" w:rsidTr="0052523B">
        <w:tc>
          <w:tcPr>
            <w:tcW w:w="3528" w:type="dxa"/>
          </w:tcPr>
          <w:p w:rsidR="0052523B" w:rsidRDefault="0052523B" w:rsidP="00F71169">
            <w:pPr>
              <w:pStyle w:val="NoSpacing"/>
              <w:rPr>
                <w:rFonts w:asciiTheme="majorHAnsi" w:hAnsiTheme="majorHAnsi"/>
                <w:sz w:val="20"/>
                <w:szCs w:val="20"/>
              </w:rPr>
            </w:pPr>
            <w:r>
              <w:rPr>
                <w:rFonts w:asciiTheme="majorHAnsi" w:hAnsiTheme="majorHAnsi"/>
                <w:sz w:val="20"/>
                <w:szCs w:val="20"/>
              </w:rPr>
              <w:t>CAST-CVET-461</w:t>
            </w:r>
          </w:p>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Construction Cost Estimating I</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54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8246C8" w:rsidRPr="00A23824" w:rsidRDefault="008246C8" w:rsidP="008246C8">
            <w:pPr>
              <w:pStyle w:val="NoSpacing"/>
              <w:jc w:val="center"/>
              <w:rPr>
                <w:rFonts w:asciiTheme="majorHAnsi" w:hAnsiTheme="majorHAnsi"/>
                <w:sz w:val="20"/>
                <w:szCs w:val="20"/>
              </w:rPr>
            </w:pP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CAST-CVET-170</w:t>
            </w:r>
          </w:p>
        </w:tc>
      </w:tr>
      <w:tr w:rsidR="008246C8" w:rsidRPr="00C2660B" w:rsidTr="0052523B">
        <w:tc>
          <w:tcPr>
            <w:tcW w:w="3528" w:type="dxa"/>
          </w:tcPr>
          <w:p w:rsidR="0052523B" w:rsidRDefault="0052523B" w:rsidP="00F71169">
            <w:pPr>
              <w:pStyle w:val="NoSpacing"/>
              <w:rPr>
                <w:rFonts w:asciiTheme="majorHAnsi" w:hAnsiTheme="majorHAnsi"/>
                <w:sz w:val="20"/>
                <w:szCs w:val="20"/>
              </w:rPr>
            </w:pPr>
            <w:r>
              <w:rPr>
                <w:rFonts w:asciiTheme="majorHAnsi" w:hAnsiTheme="majorHAnsi"/>
                <w:sz w:val="20"/>
                <w:szCs w:val="20"/>
              </w:rPr>
              <w:t>CAST-CVET-462</w:t>
            </w:r>
          </w:p>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Construction Project Management</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54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8246C8" w:rsidRPr="008246C8" w:rsidRDefault="008246C8" w:rsidP="003E632B">
            <w:pPr>
              <w:spacing w:before="60" w:after="60" w:line="240" w:lineRule="atLeast"/>
              <w:rPr>
                <w:rFonts w:asciiTheme="majorHAnsi" w:hAnsiTheme="majorHAnsi"/>
                <w:sz w:val="20"/>
                <w:szCs w:val="20"/>
              </w:rPr>
            </w:pPr>
            <w:r w:rsidRPr="008246C8">
              <w:rPr>
                <w:rFonts w:asciiTheme="majorHAnsi" w:hAnsiTheme="majorHAnsi"/>
                <w:sz w:val="20"/>
                <w:szCs w:val="20"/>
              </w:rPr>
              <w:t>CAST-CVET-</w:t>
            </w:r>
            <w:r w:rsidR="00397504">
              <w:rPr>
                <w:rFonts w:asciiTheme="majorHAnsi" w:hAnsiTheme="majorHAnsi"/>
                <w:sz w:val="20"/>
                <w:szCs w:val="20"/>
              </w:rPr>
              <w:t>170</w:t>
            </w:r>
          </w:p>
        </w:tc>
      </w:tr>
      <w:tr w:rsidR="003E632B" w:rsidRPr="00C2660B" w:rsidTr="0052523B">
        <w:tc>
          <w:tcPr>
            <w:tcW w:w="3528" w:type="dxa"/>
          </w:tcPr>
          <w:p w:rsidR="0052523B" w:rsidRDefault="0052523B" w:rsidP="003E632B">
            <w:pPr>
              <w:pStyle w:val="NoSpacing"/>
              <w:rPr>
                <w:rFonts w:asciiTheme="majorHAnsi" w:hAnsiTheme="majorHAnsi"/>
                <w:sz w:val="20"/>
                <w:szCs w:val="20"/>
              </w:rPr>
            </w:pPr>
            <w:r>
              <w:rPr>
                <w:rFonts w:asciiTheme="majorHAnsi" w:hAnsiTheme="majorHAnsi"/>
                <w:sz w:val="20"/>
                <w:szCs w:val="20"/>
              </w:rPr>
              <w:t>CAST-CVET-423</w:t>
            </w:r>
          </w:p>
          <w:p w:rsidR="003E632B" w:rsidRPr="008246C8" w:rsidRDefault="003E632B" w:rsidP="003E632B">
            <w:pPr>
              <w:pStyle w:val="NoSpacing"/>
              <w:rPr>
                <w:rFonts w:asciiTheme="majorHAnsi" w:hAnsiTheme="majorHAnsi"/>
                <w:sz w:val="20"/>
                <w:szCs w:val="20"/>
              </w:rPr>
            </w:pPr>
            <w:r w:rsidRPr="008246C8">
              <w:rPr>
                <w:rFonts w:asciiTheme="majorHAnsi" w:hAnsiTheme="majorHAnsi"/>
                <w:sz w:val="20"/>
                <w:szCs w:val="20"/>
              </w:rPr>
              <w:t>GIS for CETEMS</w:t>
            </w:r>
          </w:p>
        </w:tc>
        <w:tc>
          <w:tcPr>
            <w:tcW w:w="630" w:type="dxa"/>
            <w:vMerge w:val="restart"/>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6</w:t>
            </w:r>
          </w:p>
        </w:tc>
        <w:tc>
          <w:tcPr>
            <w:tcW w:w="1080" w:type="dxa"/>
            <w:vAlign w:val="center"/>
          </w:tcPr>
          <w:p w:rsidR="003E632B" w:rsidRPr="00A23824" w:rsidRDefault="003E632B" w:rsidP="003E632B">
            <w:pPr>
              <w:pStyle w:val="NoSpacing"/>
              <w:jc w:val="center"/>
              <w:rPr>
                <w:rFonts w:asciiTheme="majorHAnsi" w:hAnsiTheme="majorHAnsi"/>
                <w:sz w:val="20"/>
                <w:szCs w:val="20"/>
              </w:rPr>
            </w:pPr>
          </w:p>
        </w:tc>
        <w:tc>
          <w:tcPr>
            <w:tcW w:w="108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540" w:type="dxa"/>
            <w:vAlign w:val="center"/>
          </w:tcPr>
          <w:p w:rsidR="003E632B" w:rsidRPr="00A23824" w:rsidRDefault="003E632B" w:rsidP="003E632B">
            <w:pPr>
              <w:pStyle w:val="NoSpacing"/>
              <w:jc w:val="center"/>
              <w:rPr>
                <w:rFonts w:asciiTheme="majorHAnsi" w:hAnsiTheme="majorHAnsi"/>
                <w:sz w:val="20"/>
                <w:szCs w:val="20"/>
              </w:rPr>
            </w:pPr>
          </w:p>
        </w:tc>
        <w:tc>
          <w:tcPr>
            <w:tcW w:w="81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3E632B" w:rsidRPr="008246C8" w:rsidRDefault="003E632B" w:rsidP="003E632B">
            <w:pPr>
              <w:spacing w:before="60" w:after="60" w:line="240" w:lineRule="atLeast"/>
              <w:rPr>
                <w:rFonts w:asciiTheme="majorHAnsi" w:hAnsiTheme="majorHAnsi"/>
                <w:sz w:val="20"/>
                <w:szCs w:val="20"/>
              </w:rPr>
            </w:pPr>
            <w:r w:rsidRPr="008246C8">
              <w:rPr>
                <w:sz w:val="20"/>
                <w:szCs w:val="20"/>
              </w:rPr>
              <w:t>4</w:t>
            </w:r>
            <w:r w:rsidRPr="008246C8">
              <w:rPr>
                <w:sz w:val="20"/>
                <w:szCs w:val="20"/>
                <w:vertAlign w:val="superscript"/>
              </w:rPr>
              <w:t>th</w:t>
            </w:r>
            <w:r w:rsidRPr="008246C8">
              <w:rPr>
                <w:sz w:val="20"/>
                <w:szCs w:val="20"/>
              </w:rPr>
              <w:t xml:space="preserve"> year status</w:t>
            </w:r>
          </w:p>
        </w:tc>
      </w:tr>
      <w:tr w:rsidR="008246C8" w:rsidRPr="00C2660B" w:rsidTr="0052523B">
        <w:tc>
          <w:tcPr>
            <w:tcW w:w="3528" w:type="dxa"/>
          </w:tcPr>
          <w:p w:rsidR="0052523B" w:rsidRDefault="0052523B" w:rsidP="00F71169">
            <w:pPr>
              <w:pStyle w:val="NoSpacing"/>
              <w:rPr>
                <w:rFonts w:asciiTheme="majorHAnsi" w:hAnsiTheme="majorHAnsi"/>
                <w:sz w:val="20"/>
                <w:szCs w:val="20"/>
              </w:rPr>
            </w:pPr>
            <w:r>
              <w:rPr>
                <w:rFonts w:asciiTheme="majorHAnsi" w:hAnsiTheme="majorHAnsi"/>
                <w:sz w:val="20"/>
                <w:szCs w:val="20"/>
              </w:rPr>
              <w:t>CAST-CVET-464</w:t>
            </w:r>
          </w:p>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Construction Planning, Scheduling, and Control</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54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8246C8" w:rsidRPr="00A23824" w:rsidRDefault="008246C8" w:rsidP="008246C8">
            <w:pPr>
              <w:pStyle w:val="NoSpacing"/>
              <w:jc w:val="center"/>
              <w:rPr>
                <w:rFonts w:asciiTheme="majorHAnsi" w:hAnsiTheme="majorHAnsi"/>
                <w:sz w:val="20"/>
                <w:szCs w:val="20"/>
              </w:rPr>
            </w:pP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8246C8" w:rsidRPr="008246C8" w:rsidRDefault="008246C8" w:rsidP="00397504">
            <w:pPr>
              <w:spacing w:before="60" w:after="60" w:line="240" w:lineRule="atLeast"/>
              <w:rPr>
                <w:rFonts w:asciiTheme="majorHAnsi" w:hAnsiTheme="majorHAnsi"/>
                <w:sz w:val="20"/>
                <w:szCs w:val="20"/>
              </w:rPr>
            </w:pPr>
            <w:r w:rsidRPr="008246C8">
              <w:rPr>
                <w:rFonts w:asciiTheme="majorHAnsi" w:hAnsiTheme="majorHAnsi"/>
                <w:sz w:val="20"/>
                <w:szCs w:val="20"/>
              </w:rPr>
              <w:t>CAST-CVET-</w:t>
            </w:r>
            <w:r w:rsidR="00397504">
              <w:rPr>
                <w:rFonts w:asciiTheme="majorHAnsi" w:hAnsiTheme="majorHAnsi"/>
                <w:sz w:val="20"/>
                <w:szCs w:val="20"/>
              </w:rPr>
              <w:t>170 &amp; 4</w:t>
            </w:r>
            <w:r w:rsidR="00397504" w:rsidRPr="003E632B">
              <w:rPr>
                <w:rFonts w:asciiTheme="majorHAnsi" w:hAnsiTheme="majorHAnsi"/>
                <w:sz w:val="20"/>
                <w:szCs w:val="20"/>
                <w:vertAlign w:val="superscript"/>
              </w:rPr>
              <w:t>th</w:t>
            </w:r>
            <w:r w:rsidR="00397504">
              <w:rPr>
                <w:rFonts w:asciiTheme="majorHAnsi" w:hAnsiTheme="majorHAnsi"/>
                <w:sz w:val="20"/>
                <w:szCs w:val="20"/>
              </w:rPr>
              <w:t xml:space="preserve"> year status</w:t>
            </w:r>
          </w:p>
        </w:tc>
      </w:tr>
      <w:tr w:rsidR="008246C8" w:rsidRPr="00C2660B" w:rsidTr="0052523B">
        <w:tc>
          <w:tcPr>
            <w:tcW w:w="3528" w:type="dxa"/>
          </w:tcPr>
          <w:p w:rsidR="0052523B" w:rsidRDefault="0052523B" w:rsidP="00F71169">
            <w:pPr>
              <w:pStyle w:val="NoSpacing"/>
              <w:rPr>
                <w:rFonts w:asciiTheme="majorHAnsi" w:hAnsiTheme="majorHAnsi"/>
                <w:sz w:val="20"/>
                <w:szCs w:val="20"/>
              </w:rPr>
            </w:pPr>
            <w:r>
              <w:rPr>
                <w:rFonts w:asciiTheme="majorHAnsi" w:hAnsiTheme="majorHAnsi"/>
                <w:sz w:val="20"/>
                <w:szCs w:val="20"/>
              </w:rPr>
              <w:t>CAST-CVET-465</w:t>
            </w:r>
          </w:p>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Contracts and Specifications</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54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4</w:t>
            </w:r>
            <w:r w:rsidRPr="008246C8">
              <w:rPr>
                <w:rFonts w:asciiTheme="majorHAnsi" w:hAnsiTheme="majorHAnsi"/>
                <w:sz w:val="20"/>
                <w:szCs w:val="20"/>
                <w:vertAlign w:val="superscript"/>
              </w:rPr>
              <w:t>th</w:t>
            </w:r>
            <w:r w:rsidRPr="008246C8">
              <w:rPr>
                <w:rFonts w:asciiTheme="majorHAnsi" w:hAnsiTheme="majorHAnsi"/>
                <w:sz w:val="20"/>
                <w:szCs w:val="20"/>
              </w:rPr>
              <w:t xml:space="preserve"> year status</w:t>
            </w:r>
          </w:p>
        </w:tc>
      </w:tr>
      <w:tr w:rsidR="003E632B" w:rsidRPr="00C2660B" w:rsidTr="0052523B">
        <w:tc>
          <w:tcPr>
            <w:tcW w:w="3528" w:type="dxa"/>
          </w:tcPr>
          <w:p w:rsidR="0052523B" w:rsidRDefault="003E632B" w:rsidP="003E632B">
            <w:pPr>
              <w:spacing w:before="60" w:after="60" w:line="240" w:lineRule="atLeast"/>
              <w:rPr>
                <w:rFonts w:asciiTheme="majorHAnsi" w:hAnsiTheme="majorHAnsi"/>
                <w:sz w:val="20"/>
                <w:szCs w:val="20"/>
              </w:rPr>
            </w:pPr>
            <w:r w:rsidRPr="008246C8">
              <w:rPr>
                <w:rFonts w:asciiTheme="majorHAnsi" w:hAnsiTheme="majorHAnsi"/>
                <w:sz w:val="20"/>
                <w:szCs w:val="20"/>
              </w:rPr>
              <w:t>CAST-CVET-</w:t>
            </w:r>
            <w:r>
              <w:rPr>
                <w:rFonts w:asciiTheme="majorHAnsi" w:hAnsiTheme="majorHAnsi"/>
                <w:sz w:val="20"/>
                <w:szCs w:val="20"/>
              </w:rPr>
              <w:t>505</w:t>
            </w:r>
          </w:p>
          <w:p w:rsidR="003E632B" w:rsidRPr="008246C8" w:rsidRDefault="003E632B" w:rsidP="003E632B">
            <w:pPr>
              <w:spacing w:before="60" w:after="60" w:line="240" w:lineRule="atLeast"/>
              <w:rPr>
                <w:rFonts w:asciiTheme="majorHAnsi" w:hAnsiTheme="majorHAnsi"/>
                <w:sz w:val="20"/>
                <w:szCs w:val="20"/>
              </w:rPr>
            </w:pPr>
            <w:r w:rsidRPr="008246C8">
              <w:rPr>
                <w:rFonts w:asciiTheme="majorHAnsi" w:hAnsiTheme="majorHAnsi"/>
                <w:sz w:val="20"/>
                <w:szCs w:val="20"/>
              </w:rPr>
              <w:t>Sustainable Building Design &amp; Construction</w:t>
            </w:r>
          </w:p>
        </w:tc>
        <w:tc>
          <w:tcPr>
            <w:tcW w:w="630" w:type="dxa"/>
            <w:vMerge/>
            <w:vAlign w:val="center"/>
          </w:tcPr>
          <w:p w:rsidR="003E632B" w:rsidRPr="00A23824" w:rsidRDefault="003E632B" w:rsidP="003E632B">
            <w:pPr>
              <w:pStyle w:val="NoSpacing"/>
              <w:jc w:val="center"/>
              <w:rPr>
                <w:rFonts w:asciiTheme="majorHAnsi" w:hAnsiTheme="majorHAnsi"/>
                <w:sz w:val="20"/>
                <w:szCs w:val="20"/>
              </w:rPr>
            </w:pPr>
          </w:p>
        </w:tc>
        <w:tc>
          <w:tcPr>
            <w:tcW w:w="1080" w:type="dxa"/>
            <w:vAlign w:val="center"/>
          </w:tcPr>
          <w:p w:rsidR="003E632B" w:rsidRPr="00A23824" w:rsidRDefault="003E632B" w:rsidP="003E632B">
            <w:pPr>
              <w:pStyle w:val="NoSpacing"/>
              <w:jc w:val="center"/>
              <w:rPr>
                <w:rFonts w:asciiTheme="majorHAnsi" w:hAnsiTheme="majorHAnsi"/>
                <w:sz w:val="20"/>
                <w:szCs w:val="20"/>
              </w:rPr>
            </w:pPr>
          </w:p>
        </w:tc>
        <w:tc>
          <w:tcPr>
            <w:tcW w:w="108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540" w:type="dxa"/>
            <w:vAlign w:val="center"/>
          </w:tcPr>
          <w:p w:rsidR="003E632B" w:rsidRPr="00A23824" w:rsidRDefault="003E632B" w:rsidP="003E632B">
            <w:pPr>
              <w:pStyle w:val="NoSpacing"/>
              <w:jc w:val="center"/>
              <w:rPr>
                <w:rFonts w:asciiTheme="majorHAnsi" w:hAnsiTheme="majorHAnsi"/>
                <w:sz w:val="20"/>
                <w:szCs w:val="20"/>
              </w:rPr>
            </w:pPr>
          </w:p>
        </w:tc>
        <w:tc>
          <w:tcPr>
            <w:tcW w:w="81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3E632B" w:rsidRPr="00A23824" w:rsidRDefault="003E632B" w:rsidP="003E632B">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3E632B" w:rsidRPr="008246C8" w:rsidRDefault="003E632B" w:rsidP="003E632B">
            <w:pPr>
              <w:spacing w:before="60" w:after="60" w:line="240" w:lineRule="atLeast"/>
              <w:rPr>
                <w:rFonts w:asciiTheme="majorHAnsi" w:hAnsiTheme="majorHAnsi"/>
                <w:sz w:val="20"/>
                <w:szCs w:val="20"/>
              </w:rPr>
            </w:pPr>
            <w:r w:rsidRPr="008246C8">
              <w:rPr>
                <w:rFonts w:asciiTheme="majorHAnsi" w:hAnsiTheme="majorHAnsi"/>
                <w:sz w:val="20"/>
                <w:szCs w:val="20"/>
              </w:rPr>
              <w:t>CAST-CVET-170</w:t>
            </w:r>
          </w:p>
        </w:tc>
      </w:tr>
      <w:tr w:rsidR="003E632B" w:rsidRPr="00C2660B" w:rsidTr="0052523B">
        <w:tc>
          <w:tcPr>
            <w:tcW w:w="3528" w:type="dxa"/>
          </w:tcPr>
          <w:p w:rsidR="0052523B" w:rsidRDefault="003E632B" w:rsidP="003E632B">
            <w:pPr>
              <w:spacing w:before="60" w:after="60" w:line="240" w:lineRule="atLeast"/>
              <w:rPr>
                <w:rFonts w:asciiTheme="majorHAnsi" w:hAnsiTheme="majorHAnsi"/>
                <w:sz w:val="20"/>
                <w:szCs w:val="20"/>
              </w:rPr>
            </w:pPr>
            <w:r>
              <w:rPr>
                <w:rFonts w:asciiTheme="majorHAnsi" w:hAnsiTheme="majorHAnsi"/>
                <w:sz w:val="20"/>
                <w:szCs w:val="20"/>
              </w:rPr>
              <w:t>CAST-ESHS-2</w:t>
            </w:r>
            <w:r w:rsidR="0052523B">
              <w:rPr>
                <w:rFonts w:asciiTheme="majorHAnsi" w:hAnsiTheme="majorHAnsi"/>
                <w:sz w:val="20"/>
                <w:szCs w:val="20"/>
              </w:rPr>
              <w:t>25</w:t>
            </w:r>
          </w:p>
          <w:p w:rsidR="003E632B" w:rsidRDefault="003E632B" w:rsidP="003E632B">
            <w:pPr>
              <w:spacing w:before="60" w:after="60" w:line="240" w:lineRule="atLeast"/>
              <w:rPr>
                <w:rFonts w:asciiTheme="majorHAnsi" w:hAnsiTheme="majorHAnsi"/>
                <w:sz w:val="20"/>
                <w:szCs w:val="20"/>
              </w:rPr>
            </w:pPr>
            <w:r w:rsidRPr="008246C8">
              <w:rPr>
                <w:rFonts w:asciiTheme="majorHAnsi" w:hAnsiTheme="majorHAnsi"/>
                <w:sz w:val="20"/>
                <w:szCs w:val="20"/>
              </w:rPr>
              <w:t>Construction Safety</w:t>
            </w:r>
          </w:p>
        </w:tc>
        <w:tc>
          <w:tcPr>
            <w:tcW w:w="630" w:type="dxa"/>
            <w:vMerge/>
            <w:vAlign w:val="center"/>
          </w:tcPr>
          <w:p w:rsidR="003E632B" w:rsidRPr="00A23824" w:rsidRDefault="003E632B" w:rsidP="003E632B">
            <w:pPr>
              <w:pStyle w:val="NoSpacing"/>
              <w:jc w:val="center"/>
              <w:rPr>
                <w:rFonts w:asciiTheme="majorHAnsi" w:hAnsiTheme="majorHAnsi"/>
                <w:sz w:val="20"/>
                <w:szCs w:val="20"/>
              </w:rPr>
            </w:pPr>
          </w:p>
        </w:tc>
        <w:tc>
          <w:tcPr>
            <w:tcW w:w="1080" w:type="dxa"/>
            <w:vAlign w:val="center"/>
          </w:tcPr>
          <w:p w:rsidR="003E632B" w:rsidRPr="00A23824" w:rsidRDefault="003E632B" w:rsidP="003E632B">
            <w:pPr>
              <w:pStyle w:val="NoSpacing"/>
              <w:jc w:val="center"/>
              <w:rPr>
                <w:rFonts w:asciiTheme="majorHAnsi" w:hAnsiTheme="majorHAnsi"/>
                <w:sz w:val="20"/>
                <w:szCs w:val="20"/>
              </w:rPr>
            </w:pPr>
          </w:p>
        </w:tc>
        <w:tc>
          <w:tcPr>
            <w:tcW w:w="1080" w:type="dxa"/>
            <w:vAlign w:val="center"/>
          </w:tcPr>
          <w:p w:rsidR="003E632B"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540" w:type="dxa"/>
            <w:vAlign w:val="center"/>
          </w:tcPr>
          <w:p w:rsidR="003E632B" w:rsidRDefault="003E632B" w:rsidP="003E632B">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3E632B" w:rsidRPr="00A23824" w:rsidRDefault="003E632B" w:rsidP="003E632B">
            <w:pPr>
              <w:pStyle w:val="NoSpacing"/>
              <w:jc w:val="center"/>
              <w:rPr>
                <w:rFonts w:asciiTheme="majorHAnsi" w:hAnsiTheme="majorHAnsi"/>
                <w:sz w:val="20"/>
                <w:szCs w:val="20"/>
              </w:rPr>
            </w:pPr>
          </w:p>
        </w:tc>
        <w:tc>
          <w:tcPr>
            <w:tcW w:w="990" w:type="dxa"/>
            <w:vAlign w:val="center"/>
          </w:tcPr>
          <w:p w:rsidR="003E632B" w:rsidRDefault="003E632B" w:rsidP="003E632B">
            <w:pPr>
              <w:pStyle w:val="NoSpacing"/>
              <w:jc w:val="center"/>
              <w:rPr>
                <w:rFonts w:asciiTheme="majorHAnsi" w:hAnsiTheme="majorHAnsi"/>
                <w:sz w:val="20"/>
                <w:szCs w:val="20"/>
              </w:rPr>
            </w:pPr>
            <w:r>
              <w:rPr>
                <w:rFonts w:asciiTheme="majorHAnsi" w:hAnsiTheme="majorHAnsi"/>
                <w:sz w:val="20"/>
                <w:szCs w:val="20"/>
              </w:rPr>
              <w:t>A</w:t>
            </w:r>
          </w:p>
        </w:tc>
        <w:tc>
          <w:tcPr>
            <w:tcW w:w="1620" w:type="dxa"/>
          </w:tcPr>
          <w:p w:rsidR="003E632B" w:rsidRPr="008246C8" w:rsidRDefault="003E632B" w:rsidP="003E632B">
            <w:pPr>
              <w:spacing w:before="60" w:after="60" w:line="240" w:lineRule="atLeast"/>
              <w:rPr>
                <w:rFonts w:asciiTheme="majorHAnsi" w:hAnsiTheme="majorHAnsi"/>
                <w:sz w:val="20"/>
                <w:szCs w:val="20"/>
              </w:rPr>
            </w:pPr>
          </w:p>
        </w:tc>
      </w:tr>
      <w:tr w:rsidR="00EB4A0C" w:rsidRPr="00C2660B" w:rsidTr="0052523B">
        <w:trPr>
          <w:gridAfter w:val="6"/>
          <w:wAfter w:w="6120" w:type="dxa"/>
        </w:trPr>
        <w:tc>
          <w:tcPr>
            <w:tcW w:w="3528" w:type="dxa"/>
          </w:tcPr>
          <w:p w:rsidR="00EB4A0C" w:rsidRPr="00C2660B" w:rsidRDefault="00A21C31" w:rsidP="007E4584">
            <w:pPr>
              <w:pStyle w:val="NoSpacing"/>
              <w:jc w:val="right"/>
              <w:rPr>
                <w:rFonts w:ascii="Times New Roman" w:hAnsi="Times New Roman"/>
                <w:sz w:val="24"/>
                <w:szCs w:val="24"/>
              </w:rPr>
            </w:pPr>
            <w:r w:rsidRPr="00C2660B">
              <w:rPr>
                <w:rFonts w:ascii="Times New Roman" w:hAnsi="Times New Roman"/>
                <w:sz w:val="24"/>
                <w:szCs w:val="24"/>
              </w:rPr>
              <w:lastRenderedPageBreak/>
              <w:t>Total credit hours:</w:t>
            </w:r>
          </w:p>
        </w:tc>
        <w:tc>
          <w:tcPr>
            <w:tcW w:w="630" w:type="dxa"/>
          </w:tcPr>
          <w:p w:rsidR="00EB4A0C" w:rsidRPr="00C2660B" w:rsidRDefault="00CE4FD3" w:rsidP="007E4584">
            <w:pPr>
              <w:pStyle w:val="NoSpacing"/>
              <w:jc w:val="both"/>
              <w:rPr>
                <w:rFonts w:ascii="Times New Roman" w:hAnsi="Times New Roman"/>
                <w:sz w:val="24"/>
                <w:szCs w:val="24"/>
              </w:rPr>
            </w:pPr>
            <w:r>
              <w:rPr>
                <w:rFonts w:ascii="Times New Roman" w:hAnsi="Times New Roman"/>
                <w:sz w:val="24"/>
                <w:szCs w:val="24"/>
              </w:rPr>
              <w:t>15</w:t>
            </w:r>
          </w:p>
        </w:tc>
      </w:tr>
    </w:tbl>
    <w:p w:rsidR="00870677" w:rsidRDefault="00870677">
      <w:pPr>
        <w:rPr>
          <w:rFonts w:eastAsia="Calibri"/>
        </w:rPr>
      </w:pPr>
    </w:p>
    <w:p w:rsidR="00844C84" w:rsidRDefault="00844C84">
      <w:pPr>
        <w:rPr>
          <w:rFonts w:eastAsia="Calibri"/>
        </w:rPr>
      </w:pPr>
      <w:r>
        <w:rPr>
          <w:rFonts w:eastAsia="Calibri"/>
        </w:rPr>
        <w:br w:type="page"/>
      </w:r>
    </w:p>
    <w:p w:rsidR="00844C84" w:rsidRPr="005B57D2" w:rsidRDefault="00844C84" w:rsidP="00844C84">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844C84" w:rsidRPr="00077876" w:rsidRDefault="00844C84" w:rsidP="00844C84">
      <w:pPr>
        <w:pStyle w:val="NormalWeb"/>
      </w:pPr>
      <w:r w:rsidRPr="00077876">
        <w:t xml:space="preserve"> 1. </w:t>
      </w:r>
      <w:r w:rsidRPr="00077876">
        <w:rPr>
          <w:u w:val="single"/>
        </w:rPr>
        <w:t>Definition</w:t>
      </w:r>
    </w:p>
    <w:p w:rsidR="00844C84" w:rsidRPr="00077876" w:rsidRDefault="00844C84" w:rsidP="00844C84">
      <w:pPr>
        <w:pStyle w:val="NormalWeb"/>
      </w:pPr>
      <w:r w:rsidRPr="00077876">
        <w:t xml:space="preserve">A minor at RIT is a related set of academic courses consisting of no fewer than 15 semester credit hours leading to a formal designation on a student's baccalaureate transcript. </w:t>
      </w:r>
    </w:p>
    <w:p w:rsidR="00844C84" w:rsidRDefault="00844C84" w:rsidP="00844C8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844C84" w:rsidRDefault="00844C84" w:rsidP="00844C84"/>
    <w:p w:rsidR="00844C84" w:rsidRPr="00077876" w:rsidRDefault="00844C84" w:rsidP="00844C8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844C84" w:rsidRPr="00077876" w:rsidRDefault="00844C84" w:rsidP="00844C84">
      <w:pPr>
        <w:pStyle w:val="NormalWeb"/>
      </w:pPr>
      <w:r w:rsidRPr="00077876">
        <w:t xml:space="preserve">2. </w:t>
      </w:r>
      <w:r w:rsidRPr="00077876">
        <w:rPr>
          <w:u w:val="single"/>
        </w:rPr>
        <w:t>Institutional parameters</w:t>
      </w:r>
      <w:r w:rsidRPr="00077876">
        <w:t xml:space="preserve"> </w:t>
      </w:r>
    </w:p>
    <w:p w:rsidR="00844C84" w:rsidRPr="00077876" w:rsidRDefault="00844C84" w:rsidP="00844C84">
      <w:pPr>
        <w:pStyle w:val="NormalWeb"/>
        <w:numPr>
          <w:ilvl w:val="0"/>
          <w:numId w:val="8"/>
        </w:numPr>
      </w:pPr>
      <w:r w:rsidRPr="00077876">
        <w:t>Minors may be discip</w:t>
      </w:r>
      <w:r>
        <w:t>line-based or interdisciplinary;</w:t>
      </w:r>
      <w:r w:rsidRPr="00077876">
        <w:t xml:space="preserve"> </w:t>
      </w:r>
    </w:p>
    <w:p w:rsidR="00844C84" w:rsidRPr="00077876" w:rsidRDefault="00844C84" w:rsidP="00844C84">
      <w:pPr>
        <w:pStyle w:val="NormalWeb"/>
        <w:numPr>
          <w:ilvl w:val="0"/>
          <w:numId w:val="8"/>
        </w:numPr>
      </w:pPr>
      <w:r w:rsidRPr="00077876">
        <w:t>Only matriculated</w:t>
      </w:r>
      <w:r>
        <w:t xml:space="preserve"> students may enroll in a minor;</w:t>
      </w:r>
    </w:p>
    <w:p w:rsidR="00844C84" w:rsidRPr="00077876" w:rsidRDefault="00844C84" w:rsidP="00844C84">
      <w:pPr>
        <w:pStyle w:val="NormalWeb"/>
        <w:numPr>
          <w:ilvl w:val="0"/>
          <w:numId w:val="8"/>
        </w:numPr>
      </w:pPr>
      <w:r w:rsidRPr="00077876">
        <w:t xml:space="preserve">At least nine semester credit hours of the minor must consist of courses not required by the student's home program; </w:t>
      </w:r>
    </w:p>
    <w:p w:rsidR="00844C84" w:rsidRPr="00077876" w:rsidRDefault="00844C84" w:rsidP="00844C8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844C84" w:rsidRPr="00077876" w:rsidRDefault="00844C84" w:rsidP="00844C8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844C84" w:rsidRPr="005E32BE" w:rsidRDefault="00844C84" w:rsidP="00844C84">
      <w:pPr>
        <w:pStyle w:val="ListParagraph"/>
        <w:numPr>
          <w:ilvl w:val="0"/>
          <w:numId w:val="8"/>
        </w:numPr>
      </w:pPr>
      <w:r w:rsidRPr="005E32BE">
        <w:t xml:space="preserve">Posting of the minor on the student's academic transcript requires a minimum GPA of 2.0 in each of the minor courses; </w:t>
      </w:r>
    </w:p>
    <w:p w:rsidR="00844C84" w:rsidRPr="00077876" w:rsidRDefault="00844C84" w:rsidP="00844C84">
      <w:pPr>
        <w:pStyle w:val="ListParagraph"/>
        <w:numPr>
          <w:ilvl w:val="0"/>
          <w:numId w:val="8"/>
        </w:numPr>
      </w:pPr>
      <w:r w:rsidRPr="00077876">
        <w:t xml:space="preserve">Minors may not be added to the student's academic record after the granting of the bachelor's degree. </w:t>
      </w:r>
    </w:p>
    <w:p w:rsidR="00844C84" w:rsidRDefault="00844C84" w:rsidP="00844C84"/>
    <w:p w:rsidR="00844C84" w:rsidRPr="00077876" w:rsidRDefault="00844C84" w:rsidP="00844C84">
      <w:pPr>
        <w:spacing w:after="240"/>
      </w:pPr>
      <w:r w:rsidRPr="00077876">
        <w:t xml:space="preserve">3. </w:t>
      </w:r>
      <w:r w:rsidRPr="00077876">
        <w:rPr>
          <w:u w:val="single"/>
        </w:rPr>
        <w:t xml:space="preserve">Development/approval/administration processes </w:t>
      </w:r>
    </w:p>
    <w:p w:rsidR="00844C84" w:rsidRPr="00077876" w:rsidRDefault="00844C84" w:rsidP="00844C8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844C84" w:rsidRPr="00077876" w:rsidRDefault="00844C84" w:rsidP="00844C84">
      <w:pPr>
        <w:pStyle w:val="ListParagraph"/>
        <w:numPr>
          <w:ilvl w:val="2"/>
          <w:numId w:val="18"/>
        </w:numPr>
      </w:pPr>
      <w:r w:rsidRPr="00077876">
        <w:t xml:space="preserve">students ineligible for the proposed minor will be identified; </w:t>
      </w:r>
    </w:p>
    <w:p w:rsidR="00844C84" w:rsidRPr="00077876" w:rsidRDefault="00844C84" w:rsidP="00844C84">
      <w:pPr>
        <w:pStyle w:val="ListParagraph"/>
        <w:numPr>
          <w:ilvl w:val="2"/>
          <w:numId w:val="18"/>
        </w:numPr>
      </w:pPr>
      <w:r w:rsidRPr="00077876">
        <w:t xml:space="preserve">prerequisites, if any, will be identified; </w:t>
      </w:r>
    </w:p>
    <w:p w:rsidR="00844C84" w:rsidRPr="00077876" w:rsidRDefault="00844C84" w:rsidP="00844C84">
      <w:pPr>
        <w:pStyle w:val="ListParagraph"/>
        <w:numPr>
          <w:ilvl w:val="1"/>
          <w:numId w:val="18"/>
        </w:numPr>
      </w:pPr>
      <w:r w:rsidRPr="00077876">
        <w:lastRenderedPageBreak/>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844C84" w:rsidRPr="00077876" w:rsidRDefault="00844C84" w:rsidP="00844C8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844C84" w:rsidRPr="00077876" w:rsidRDefault="00844C84" w:rsidP="00844C84">
      <w:pPr>
        <w:pStyle w:val="ListParagraph"/>
        <w:numPr>
          <w:ilvl w:val="2"/>
          <w:numId w:val="18"/>
        </w:numPr>
      </w:pPr>
      <w:r w:rsidRPr="00077876">
        <w:t xml:space="preserve">enrolling students in the minor (as space permits); </w:t>
      </w:r>
    </w:p>
    <w:p w:rsidR="00844C84" w:rsidRPr="00077876" w:rsidRDefault="00844C84" w:rsidP="00844C84">
      <w:pPr>
        <w:pStyle w:val="ListParagraph"/>
        <w:numPr>
          <w:ilvl w:val="2"/>
          <w:numId w:val="18"/>
        </w:numPr>
      </w:pPr>
      <w:r w:rsidRPr="00077876">
        <w:t xml:space="preserve">monitoring students progress toward completion of the minor; </w:t>
      </w:r>
    </w:p>
    <w:p w:rsidR="00844C84" w:rsidRPr="00077876" w:rsidRDefault="00844C84" w:rsidP="00844C84">
      <w:pPr>
        <w:pStyle w:val="ListParagraph"/>
        <w:numPr>
          <w:ilvl w:val="2"/>
          <w:numId w:val="18"/>
        </w:numPr>
      </w:pPr>
      <w:r w:rsidRPr="00077876">
        <w:t>authorizing the recording of the minor's completio</w:t>
      </w:r>
      <w:r>
        <w:t>n on student's academic records;</w:t>
      </w:r>
      <w:r w:rsidRPr="00077876">
        <w:t> </w:t>
      </w:r>
    </w:p>
    <w:p w:rsidR="00844C84" w:rsidRPr="00077876" w:rsidRDefault="00844C84" w:rsidP="00844C8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844C84" w:rsidRPr="00077876" w:rsidRDefault="00844C84" w:rsidP="00844C84">
      <w:pPr>
        <w:pStyle w:val="ListParagraph"/>
        <w:numPr>
          <w:ilvl w:val="2"/>
          <w:numId w:val="18"/>
        </w:numPr>
      </w:pPr>
      <w:r w:rsidRPr="00077876">
        <w:t>responding to student requests for removal from the minor.</w:t>
      </w:r>
    </w:p>
    <w:p w:rsidR="00844C84" w:rsidRPr="00077876" w:rsidRDefault="00844C84" w:rsidP="00844C84">
      <w:pPr>
        <w:pStyle w:val="ListParagraph"/>
        <w:ind w:left="1440"/>
      </w:pPr>
    </w:p>
    <w:p w:rsidR="00844C84" w:rsidRPr="00077876" w:rsidRDefault="00844C84" w:rsidP="00844C8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844C84" w:rsidRPr="00077876" w:rsidRDefault="00844C84" w:rsidP="00844C84">
      <w:pPr>
        <w:pStyle w:val="NormalWeb"/>
      </w:pPr>
      <w:r w:rsidRPr="00077876">
        <w:t xml:space="preserve">4. </w:t>
      </w:r>
      <w:r w:rsidRPr="00077876">
        <w:rPr>
          <w:u w:val="single"/>
        </w:rPr>
        <w:t>Procedures for Minor revision</w:t>
      </w:r>
    </w:p>
    <w:p w:rsidR="00844C84" w:rsidRDefault="00844C84" w:rsidP="00844C8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255A01" w:rsidRDefault="00255A01">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844C84" w:rsidRDefault="00844C84">
      <w:pPr>
        <w:rPr>
          <w:rFonts w:eastAsia="Calibri"/>
        </w:rPr>
      </w:pPr>
    </w:p>
    <w:p w:rsidR="00161D37" w:rsidRDefault="00161D37">
      <w:pPr>
        <w:rPr>
          <w:rFonts w:eastAsia="Calibri"/>
        </w:rPr>
      </w:pPr>
    </w:p>
    <w:p w:rsidR="00161D37" w:rsidRDefault="00161D37">
      <w:pPr>
        <w:rPr>
          <w:rFonts w:eastAsia="Calibri"/>
        </w:rPr>
      </w:pPr>
    </w:p>
    <w:p w:rsidR="00255A01" w:rsidRDefault="00255A01">
      <w:pPr>
        <w:rPr>
          <w:rFonts w:eastAsia="Calibri"/>
        </w:rPr>
      </w:pPr>
    </w:p>
    <w:p w:rsidR="00255A01" w:rsidRDefault="00255A01">
      <w:pPr>
        <w:rPr>
          <w:rFonts w:eastAsia="Calibri"/>
        </w:rPr>
      </w:pPr>
    </w:p>
    <w:p w:rsidR="003E632B" w:rsidRDefault="003E632B">
      <w:pPr>
        <w:rPr>
          <w:rFonts w:eastAsia="Calibri"/>
        </w:rPr>
      </w:pPr>
      <w:r>
        <w:rPr>
          <w:rFonts w:eastAsia="Calibri"/>
        </w:rPr>
        <w:t>(1/22/12; rev 5/31/16 jm)</w:t>
      </w:r>
      <w:r>
        <w:rPr>
          <w:rFonts w:eastAsia="Calibri"/>
        </w:rPr>
        <w:tab/>
      </w:r>
    </w:p>
    <w:p w:rsidR="00255A01" w:rsidRDefault="00255A01" w:rsidP="003E632B">
      <w:pPr>
        <w:pBdr>
          <w:bottom w:val="single" w:sz="4" w:space="1" w:color="auto"/>
        </w:pBdr>
        <w:rPr>
          <w:rFonts w:eastAsia="Calibri"/>
        </w:rPr>
      </w:pPr>
    </w:p>
    <w:p w:rsidR="003E632B" w:rsidRPr="00255A01" w:rsidRDefault="003E632B">
      <w:pPr>
        <w:rPr>
          <w:rFonts w:eastAsia="Calibri"/>
          <w:sz w:val="18"/>
        </w:rPr>
      </w:pPr>
      <w:r w:rsidRPr="00255A01">
        <w:rPr>
          <w:rFonts w:eastAsia="Calibri"/>
          <w:sz w:val="18"/>
        </w:rPr>
        <w:t>For CAST reference only file screenshot edits/bulletin corrections</w:t>
      </w:r>
      <w:r w:rsidR="00161D37">
        <w:rPr>
          <w:rFonts w:eastAsia="Calibri"/>
          <w:sz w:val="18"/>
        </w:rPr>
        <w:t xml:space="preserve"> originally</w:t>
      </w:r>
      <w:r w:rsidRPr="00255A01">
        <w:rPr>
          <w:rFonts w:eastAsia="Calibri"/>
          <w:sz w:val="18"/>
        </w:rPr>
        <w:t xml:space="preserve"> submitted May 2016</w:t>
      </w:r>
    </w:p>
    <w:p w:rsidR="003E632B" w:rsidRDefault="003E632B">
      <w:pPr>
        <w:rPr>
          <w:rFonts w:eastAsia="Calibri"/>
        </w:rPr>
      </w:pPr>
      <w:r>
        <w:rPr>
          <w:noProof/>
        </w:rPr>
        <w:drawing>
          <wp:inline distT="0" distB="0" distL="0" distR="0" wp14:anchorId="542E643D" wp14:editId="4016AC54">
            <wp:extent cx="1981200" cy="1429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5779" cy="1447637"/>
                    </a:xfrm>
                    <a:prstGeom prst="rect">
                      <a:avLst/>
                    </a:prstGeom>
                  </pic:spPr>
                </pic:pic>
              </a:graphicData>
            </a:graphic>
          </wp:inline>
        </w:drawing>
      </w:r>
    </w:p>
    <w:sectPr w:rsidR="003E632B" w:rsidSect="007E4584">
      <w:footerReference w:type="even" r:id="rId13"/>
      <w:footerReference w:type="default" r:id="rId14"/>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1B" w:rsidRDefault="00754D1B">
      <w:r>
        <w:separator/>
      </w:r>
    </w:p>
  </w:endnote>
  <w:endnote w:type="continuationSeparator" w:id="0">
    <w:p w:rsidR="00754D1B" w:rsidRDefault="0075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D5" w:rsidRDefault="002B00D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0D5" w:rsidRDefault="002B00D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D5" w:rsidRDefault="002B00D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7D7">
      <w:rPr>
        <w:rStyle w:val="PageNumber"/>
        <w:noProof/>
      </w:rPr>
      <w:t>2</w:t>
    </w:r>
    <w:r>
      <w:rPr>
        <w:rStyle w:val="PageNumber"/>
      </w:rPr>
      <w:fldChar w:fldCharType="end"/>
    </w:r>
  </w:p>
  <w:p w:rsidR="002B00D5" w:rsidRDefault="002B00D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1B" w:rsidRDefault="00754D1B">
      <w:r>
        <w:separator/>
      </w:r>
    </w:p>
  </w:footnote>
  <w:footnote w:type="continuationSeparator" w:id="0">
    <w:p w:rsidR="00754D1B" w:rsidRDefault="0075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D1DAF"/>
    <w:multiLevelType w:val="hybridMultilevel"/>
    <w:tmpl w:val="E7A0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1F47"/>
    <w:multiLevelType w:val="hybridMultilevel"/>
    <w:tmpl w:val="741C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1AC3"/>
    <w:rsid w:val="0009269F"/>
    <w:rsid w:val="000A44C0"/>
    <w:rsid w:val="000A7FDA"/>
    <w:rsid w:val="00100CD2"/>
    <w:rsid w:val="001137EE"/>
    <w:rsid w:val="00137B34"/>
    <w:rsid w:val="00161D37"/>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5A01"/>
    <w:rsid w:val="002730E7"/>
    <w:rsid w:val="002752ED"/>
    <w:rsid w:val="002A3328"/>
    <w:rsid w:val="002A6A0D"/>
    <w:rsid w:val="002B00D5"/>
    <w:rsid w:val="002B05C8"/>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7650"/>
    <w:rsid w:val="00343FDB"/>
    <w:rsid w:val="0035565C"/>
    <w:rsid w:val="0037110B"/>
    <w:rsid w:val="00397504"/>
    <w:rsid w:val="003C1322"/>
    <w:rsid w:val="003D3B2D"/>
    <w:rsid w:val="003D4A1A"/>
    <w:rsid w:val="003E1EBD"/>
    <w:rsid w:val="003E632B"/>
    <w:rsid w:val="003F0232"/>
    <w:rsid w:val="003F066E"/>
    <w:rsid w:val="0041335C"/>
    <w:rsid w:val="00417757"/>
    <w:rsid w:val="00424A0E"/>
    <w:rsid w:val="00436674"/>
    <w:rsid w:val="00436C74"/>
    <w:rsid w:val="004510AB"/>
    <w:rsid w:val="004523F7"/>
    <w:rsid w:val="00490307"/>
    <w:rsid w:val="004B42FE"/>
    <w:rsid w:val="004C039F"/>
    <w:rsid w:val="004C057F"/>
    <w:rsid w:val="004C4DFB"/>
    <w:rsid w:val="004C5361"/>
    <w:rsid w:val="004D73BD"/>
    <w:rsid w:val="00501932"/>
    <w:rsid w:val="00502F41"/>
    <w:rsid w:val="0052523B"/>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4D1B"/>
    <w:rsid w:val="00780FE6"/>
    <w:rsid w:val="0078492C"/>
    <w:rsid w:val="007873EC"/>
    <w:rsid w:val="007A50AF"/>
    <w:rsid w:val="007D4643"/>
    <w:rsid w:val="007D4C4E"/>
    <w:rsid w:val="007D6BD0"/>
    <w:rsid w:val="007E233C"/>
    <w:rsid w:val="007E2BA3"/>
    <w:rsid w:val="007E4584"/>
    <w:rsid w:val="007E7CF3"/>
    <w:rsid w:val="007F072F"/>
    <w:rsid w:val="008246C8"/>
    <w:rsid w:val="00833FFA"/>
    <w:rsid w:val="0084325D"/>
    <w:rsid w:val="00844C84"/>
    <w:rsid w:val="008463F1"/>
    <w:rsid w:val="008537FE"/>
    <w:rsid w:val="00863EBE"/>
    <w:rsid w:val="00870677"/>
    <w:rsid w:val="00872B8C"/>
    <w:rsid w:val="008828D1"/>
    <w:rsid w:val="00895436"/>
    <w:rsid w:val="008A7717"/>
    <w:rsid w:val="008C16F0"/>
    <w:rsid w:val="008C22B1"/>
    <w:rsid w:val="008D192A"/>
    <w:rsid w:val="008E0ABE"/>
    <w:rsid w:val="008E165F"/>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824"/>
    <w:rsid w:val="00A23A9A"/>
    <w:rsid w:val="00A27305"/>
    <w:rsid w:val="00A32ADA"/>
    <w:rsid w:val="00A413E9"/>
    <w:rsid w:val="00A637D7"/>
    <w:rsid w:val="00A77F3E"/>
    <w:rsid w:val="00A927E3"/>
    <w:rsid w:val="00A97989"/>
    <w:rsid w:val="00AA15E7"/>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28C"/>
    <w:rsid w:val="00BE2FB7"/>
    <w:rsid w:val="00BE7777"/>
    <w:rsid w:val="00C00351"/>
    <w:rsid w:val="00C05B6B"/>
    <w:rsid w:val="00C15035"/>
    <w:rsid w:val="00C20384"/>
    <w:rsid w:val="00C21038"/>
    <w:rsid w:val="00C23E36"/>
    <w:rsid w:val="00C259D6"/>
    <w:rsid w:val="00C2660B"/>
    <w:rsid w:val="00C35EAD"/>
    <w:rsid w:val="00C61822"/>
    <w:rsid w:val="00C65652"/>
    <w:rsid w:val="00C742E0"/>
    <w:rsid w:val="00C75863"/>
    <w:rsid w:val="00C7588D"/>
    <w:rsid w:val="00C7667A"/>
    <w:rsid w:val="00C8073F"/>
    <w:rsid w:val="00CA4365"/>
    <w:rsid w:val="00CB5224"/>
    <w:rsid w:val="00CB5F90"/>
    <w:rsid w:val="00CB65E7"/>
    <w:rsid w:val="00CE4FD3"/>
    <w:rsid w:val="00CF0896"/>
    <w:rsid w:val="00D04F48"/>
    <w:rsid w:val="00D078E4"/>
    <w:rsid w:val="00D25B01"/>
    <w:rsid w:val="00D4059B"/>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3FCE"/>
    <w:rsid w:val="00F75607"/>
    <w:rsid w:val="00F957D9"/>
    <w:rsid w:val="00FA2A63"/>
    <w:rsid w:val="00FA775F"/>
    <w:rsid w:val="00FA7FB9"/>
    <w:rsid w:val="00FB4483"/>
    <w:rsid w:val="00FB63D9"/>
    <w:rsid w:val="00FC7D3A"/>
    <w:rsid w:val="00FD60ED"/>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362035-2560-4260-B1CF-8E0785A1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9988-8E4B-450B-A100-3298B750E52C}">
  <ds:schemaRefs>
    <ds:schemaRef ds:uri="http://schemas.microsoft.com/sharepoint/v3/contenttype/forms"/>
  </ds:schemaRefs>
</ds:datastoreItem>
</file>

<file path=customXml/itemProps2.xml><?xml version="1.0" encoding="utf-8"?>
<ds:datastoreItem xmlns:ds="http://schemas.openxmlformats.org/officeDocument/2006/customXml" ds:itemID="{23C1D750-C454-4939-8B87-F9B6D2AFF394}">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91834691-529F-42BB-906C-7F1BA8F5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9CDDF1-7AC4-444C-9D7F-FE2F4E5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2016-08-03T11:59:00Z</cp:lastPrinted>
  <dcterms:created xsi:type="dcterms:W3CDTF">2016-08-03T11:59:00Z</dcterms:created>
  <dcterms:modified xsi:type="dcterms:W3CDTF">2016-08-03T11:59:00Z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