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65"/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2845"/>
        <w:gridCol w:w="3105"/>
        <w:gridCol w:w="2926"/>
        <w:gridCol w:w="3740"/>
        <w:gridCol w:w="990"/>
      </w:tblGrid>
      <w:tr w:rsidR="008C0D30" w:rsidRPr="008C0D30" w:rsidTr="004814BD">
        <w:trPr>
          <w:trHeight w:val="710"/>
        </w:trPr>
        <w:tc>
          <w:tcPr>
            <w:tcW w:w="5000" w:type="pct"/>
            <w:gridSpan w:val="6"/>
            <w:shd w:val="clear" w:color="auto" w:fill="C4BC96" w:themeFill="background2" w:themeFillShade="BF"/>
            <w:vAlign w:val="center"/>
          </w:tcPr>
          <w:p w:rsidR="008C0D30" w:rsidRPr="00A03D59" w:rsidRDefault="008C0D30" w:rsidP="00747F36">
            <w:pPr>
              <w:tabs>
                <w:tab w:val="left" w:pos="1170"/>
              </w:tabs>
              <w:spacing w:after="0" w:line="240" w:lineRule="auto"/>
              <w:ind w:left="1170" w:right="2158"/>
              <w:rPr>
                <w:rFonts w:cs="Arial"/>
                <w:b/>
                <w:sz w:val="26"/>
                <w:szCs w:val="26"/>
              </w:rPr>
            </w:pPr>
            <w:r w:rsidRPr="00A03D59">
              <w:rPr>
                <w:rFonts w:cs="Arial"/>
                <w:b/>
                <w:sz w:val="26"/>
                <w:szCs w:val="26"/>
              </w:rPr>
              <w:t>Student Learning Outcome:  Analyze or construct arguments considering their premises, assumptions, contexts, conclusions, and anticipating counterarguments</w:t>
            </w:r>
          </w:p>
        </w:tc>
      </w:tr>
      <w:tr w:rsidR="00A03D59" w:rsidRPr="008C0D30" w:rsidTr="004814BD">
        <w:trPr>
          <w:trHeight w:val="44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D30" w:rsidRPr="00A03D59" w:rsidRDefault="008C0D30" w:rsidP="004814BD">
            <w:pPr>
              <w:spacing w:after="0" w:line="21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3D59">
              <w:rPr>
                <w:rFonts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D30" w:rsidRPr="00A03D59" w:rsidRDefault="008C0D30" w:rsidP="004814BD">
            <w:pPr>
              <w:spacing w:after="0" w:line="21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3D59">
              <w:rPr>
                <w:rFonts w:cs="Arial"/>
                <w:b/>
                <w:bCs/>
                <w:sz w:val="24"/>
                <w:szCs w:val="24"/>
              </w:rPr>
              <w:t>Insufficient (1)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D30" w:rsidRPr="00A03D59" w:rsidRDefault="008C0D30" w:rsidP="004814BD">
            <w:pPr>
              <w:spacing w:after="0" w:line="21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3D59">
              <w:rPr>
                <w:rFonts w:cs="Arial"/>
                <w:b/>
                <w:bCs/>
                <w:sz w:val="24"/>
                <w:szCs w:val="24"/>
              </w:rPr>
              <w:t>Developing (2)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D30" w:rsidRPr="00A03D59" w:rsidRDefault="008C0D30" w:rsidP="004814BD">
            <w:pPr>
              <w:spacing w:after="0" w:line="21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3D59">
              <w:rPr>
                <w:rFonts w:cs="Arial"/>
                <w:b/>
                <w:bCs/>
                <w:sz w:val="24"/>
                <w:szCs w:val="24"/>
              </w:rPr>
              <w:t>Accomplished (3)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D30" w:rsidRPr="00A03D59" w:rsidRDefault="008C0D30" w:rsidP="004814BD">
            <w:pPr>
              <w:spacing w:after="0" w:line="21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3D59">
              <w:rPr>
                <w:rFonts w:cs="Arial"/>
                <w:b/>
                <w:bCs/>
                <w:sz w:val="24"/>
                <w:szCs w:val="24"/>
              </w:rPr>
              <w:t>Exemplary (4)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D30" w:rsidRPr="00A03D59" w:rsidRDefault="008C0D30" w:rsidP="004814BD">
            <w:pPr>
              <w:spacing w:after="0" w:line="21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3D59">
              <w:rPr>
                <w:rFonts w:cs="Arial"/>
                <w:b/>
                <w:bCs/>
                <w:sz w:val="24"/>
                <w:szCs w:val="24"/>
              </w:rPr>
              <w:t>Rating</w:t>
            </w:r>
          </w:p>
        </w:tc>
      </w:tr>
      <w:tr w:rsidR="00A03D59" w:rsidRPr="008C0D30" w:rsidTr="004814BD">
        <w:trPr>
          <w:trHeight w:val="1616"/>
        </w:trPr>
        <w:tc>
          <w:tcPr>
            <w:tcW w:w="452" w:type="pct"/>
            <w:tcBorders>
              <w:top w:val="single" w:sz="4" w:space="0" w:color="auto"/>
            </w:tcBorders>
          </w:tcPr>
          <w:p w:rsidR="008C0D30" w:rsidRPr="00A03D59" w:rsidRDefault="008C0D30" w:rsidP="004814BD">
            <w:pPr>
              <w:spacing w:before="40" w:after="0" w:line="228" w:lineRule="auto"/>
              <w:ind w:left="-29" w:right="-58"/>
              <w:jc w:val="center"/>
              <w:rPr>
                <w:rFonts w:cstheme="minorHAnsi"/>
                <w:spacing w:val="-6"/>
              </w:rPr>
            </w:pPr>
            <w:r w:rsidRPr="00A03D59">
              <w:rPr>
                <w:rFonts w:cstheme="minorHAnsi"/>
                <w:spacing w:val="-6"/>
              </w:rPr>
              <w:t xml:space="preserve">Identify </w:t>
            </w:r>
            <w:r w:rsidR="001C70C2" w:rsidRPr="00A03D59">
              <w:rPr>
                <w:rFonts w:cstheme="minorHAnsi"/>
                <w:spacing w:val="-6"/>
              </w:rPr>
              <w:t xml:space="preserve">an </w:t>
            </w:r>
            <w:r w:rsidRPr="00A03D59">
              <w:rPr>
                <w:rFonts w:cstheme="minorHAnsi"/>
                <w:spacing w:val="-6"/>
              </w:rPr>
              <w:t>Argument</w:t>
            </w:r>
          </w:p>
          <w:p w:rsidR="008C0D30" w:rsidRPr="00A03D59" w:rsidRDefault="008C0D30" w:rsidP="004814BD">
            <w:pPr>
              <w:spacing w:before="40" w:after="0" w:line="228" w:lineRule="auto"/>
              <w:ind w:left="-29" w:right="-58"/>
              <w:jc w:val="center"/>
              <w:rPr>
                <w:rFonts w:cstheme="minorHAnsi"/>
                <w:spacing w:val="-6"/>
              </w:rPr>
            </w:pP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Does not isolate the argument(s) from extraneous elements in the text</w:t>
            </w:r>
          </w:p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Unable to describe issues, evidence and/or reasoning processes in arguments</w:t>
            </w:r>
          </w:p>
          <w:p w:rsidR="008C0D30" w:rsidRPr="00A03D59" w:rsidRDefault="008C0D30" w:rsidP="004814BD">
            <w:pPr>
              <w:pStyle w:val="NormalWeb"/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</w:tcBorders>
          </w:tcPr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Identifies the argument(s), but includes extraneous elements such as expressions of opinion and descriptions of events</w:t>
            </w:r>
          </w:p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Identifies and describes some of the following: premises, assumptions, cont</w:t>
            </w:r>
            <w:r w:rsidR="00747F36">
              <w:rPr>
                <w:rFonts w:asciiTheme="minorHAnsi" w:hAnsiTheme="minorHAnsi" w:cs="Arial"/>
                <w:sz w:val="22"/>
                <w:szCs w:val="22"/>
              </w:rPr>
              <w:t>exts, evidence, and conclusions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Identifies the argument(s)</w:t>
            </w:r>
          </w:p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Identifies and describes most of the following: premises, assumptions, cont</w:t>
            </w:r>
            <w:r w:rsidR="00747F36">
              <w:rPr>
                <w:rFonts w:asciiTheme="minorHAnsi" w:hAnsiTheme="minorHAnsi" w:cs="Arial"/>
                <w:sz w:val="22"/>
                <w:szCs w:val="22"/>
              </w:rPr>
              <w:t>exts, evidence, and conclusions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Identifies the argument(s) and clearly distinguishes it from any extraneous elements such as expressions of opinion and descriptions of events</w:t>
            </w:r>
          </w:p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Clearly identifies and describes premises, assumptions, cont</w:t>
            </w:r>
            <w:r w:rsidR="00747F36">
              <w:rPr>
                <w:rFonts w:asciiTheme="minorHAnsi" w:hAnsiTheme="minorHAnsi" w:cs="Arial"/>
                <w:sz w:val="22"/>
                <w:szCs w:val="22"/>
              </w:rPr>
              <w:t>exts, evidence, and conclusions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8C0D30" w:rsidRPr="008C0D30" w:rsidRDefault="008C0D30" w:rsidP="004814BD">
            <w:pPr>
              <w:spacing w:before="40" w:after="0" w:line="216" w:lineRule="auto"/>
              <w:ind w:left="-29" w:right="-14"/>
              <w:rPr>
                <w:rFonts w:cstheme="minorHAnsi"/>
                <w:spacing w:val="-6"/>
                <w:sz w:val="23"/>
                <w:szCs w:val="23"/>
              </w:rPr>
            </w:pPr>
          </w:p>
        </w:tc>
      </w:tr>
      <w:tr w:rsidR="00A03D59" w:rsidRPr="008C0D30" w:rsidTr="004814BD">
        <w:trPr>
          <w:trHeight w:val="1448"/>
        </w:trPr>
        <w:tc>
          <w:tcPr>
            <w:tcW w:w="452" w:type="pct"/>
          </w:tcPr>
          <w:p w:rsidR="008C0D30" w:rsidRPr="00A03D59" w:rsidRDefault="008C0D30" w:rsidP="004814BD">
            <w:pPr>
              <w:spacing w:before="40" w:after="0" w:line="228" w:lineRule="auto"/>
              <w:ind w:right="-58"/>
              <w:jc w:val="center"/>
            </w:pPr>
            <w:r w:rsidRPr="00A03D59">
              <w:rPr>
                <w:rFonts w:cstheme="minorHAnsi"/>
                <w:spacing w:val="-6"/>
              </w:rPr>
              <w:t xml:space="preserve">Construct </w:t>
            </w:r>
            <w:r w:rsidR="001C70C2" w:rsidRPr="00A03D59">
              <w:rPr>
                <w:rFonts w:cstheme="minorHAnsi"/>
                <w:spacing w:val="-6"/>
              </w:rPr>
              <w:t>an Argument</w:t>
            </w:r>
          </w:p>
        </w:tc>
        <w:tc>
          <w:tcPr>
            <w:tcW w:w="951" w:type="pct"/>
          </w:tcPr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 xml:space="preserve">Does not clearly develop a </w:t>
            </w:r>
            <w:r w:rsidR="00106D94" w:rsidRPr="00A03D59">
              <w:rPr>
                <w:rFonts w:asciiTheme="minorHAnsi" w:hAnsiTheme="minorHAnsi" w:cs="Arial"/>
                <w:sz w:val="22"/>
                <w:szCs w:val="22"/>
              </w:rPr>
              <w:t xml:space="preserve">premise, </w:t>
            </w:r>
            <w:r w:rsidRPr="00A03D59">
              <w:rPr>
                <w:rFonts w:asciiTheme="minorHAnsi" w:hAnsiTheme="minorHAnsi" w:cs="Arial"/>
                <w:sz w:val="22"/>
                <w:szCs w:val="22"/>
              </w:rPr>
              <w:t>conclusion or point of view</w:t>
            </w:r>
          </w:p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No supporting rea</w:t>
            </w:r>
            <w:r w:rsidR="00747F36">
              <w:rPr>
                <w:rFonts w:asciiTheme="minorHAnsi" w:hAnsiTheme="minorHAnsi" w:cs="Arial"/>
                <w:sz w:val="22"/>
                <w:szCs w:val="22"/>
              </w:rPr>
              <w:t>soning or evidence is presented</w:t>
            </w:r>
          </w:p>
        </w:tc>
        <w:tc>
          <w:tcPr>
            <w:tcW w:w="1038" w:type="pct"/>
          </w:tcPr>
          <w:p w:rsidR="008C0D30" w:rsidRPr="00A03D59" w:rsidRDefault="00106D94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Develops a premise, conclusion</w:t>
            </w:r>
            <w:r w:rsidR="008C0D30" w:rsidRPr="00A03D59">
              <w:rPr>
                <w:rFonts w:asciiTheme="minorHAnsi" w:hAnsiTheme="minorHAnsi" w:cs="Arial"/>
                <w:sz w:val="22"/>
                <w:szCs w:val="22"/>
              </w:rPr>
              <w:t xml:space="preserve"> or point of view</w:t>
            </w:r>
          </w:p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Does not organize the evidence or reas</w:t>
            </w:r>
            <w:r w:rsidR="00747F36">
              <w:rPr>
                <w:rFonts w:asciiTheme="minorHAnsi" w:hAnsiTheme="minorHAnsi" w:cs="Arial"/>
                <w:sz w:val="22"/>
                <w:szCs w:val="22"/>
              </w:rPr>
              <w:t>ons in a logically adequate way</w:t>
            </w:r>
          </w:p>
        </w:tc>
        <w:tc>
          <w:tcPr>
            <w:tcW w:w="978" w:type="pct"/>
          </w:tcPr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Develops an argument</w:t>
            </w:r>
            <w:r w:rsidR="00106D94" w:rsidRPr="00A03D59">
              <w:rPr>
                <w:rFonts w:asciiTheme="minorHAnsi" w:hAnsiTheme="minorHAnsi" w:cs="Arial"/>
                <w:sz w:val="22"/>
                <w:szCs w:val="22"/>
              </w:rPr>
              <w:t xml:space="preserve"> in which the conclusion is supported by its premises</w:t>
            </w:r>
            <w:r w:rsidRPr="00A03D59">
              <w:rPr>
                <w:rFonts w:asciiTheme="minorHAnsi" w:hAnsiTheme="minorHAnsi" w:cs="Arial"/>
                <w:sz w:val="22"/>
                <w:szCs w:val="22"/>
              </w:rPr>
              <w:t xml:space="preserve"> using evidence and logical reasoning </w:t>
            </w:r>
          </w:p>
        </w:tc>
        <w:tc>
          <w:tcPr>
            <w:tcW w:w="1250" w:type="pct"/>
          </w:tcPr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eastAsia="Calibri" w:hAnsiTheme="minorHAnsi" w:cs="Calibri"/>
                <w:color w:val="000000" w:themeColor="text1"/>
                <w:spacing w:val="-6"/>
                <w:sz w:val="22"/>
                <w:szCs w:val="22"/>
              </w:rPr>
            </w:pPr>
            <w:r w:rsidRPr="00A03D59">
              <w:rPr>
                <w:rFonts w:asciiTheme="minorHAnsi" w:eastAsia="Calibri" w:hAnsiTheme="minorHAnsi" w:cs="Calibri"/>
                <w:color w:val="000000" w:themeColor="text1"/>
                <w:spacing w:val="-6"/>
                <w:sz w:val="22"/>
                <w:szCs w:val="22"/>
              </w:rPr>
              <w:t xml:space="preserve">Develops a </w:t>
            </w:r>
            <w:r w:rsidR="00106D94" w:rsidRPr="00A03D59">
              <w:rPr>
                <w:rFonts w:asciiTheme="minorHAnsi" w:eastAsia="Calibri" w:hAnsiTheme="minorHAnsi" w:cs="Calibri"/>
                <w:color w:val="000000" w:themeColor="text1"/>
                <w:spacing w:val="-6"/>
                <w:sz w:val="22"/>
                <w:szCs w:val="22"/>
              </w:rPr>
              <w:t xml:space="preserve">persuasive </w:t>
            </w:r>
            <w:r w:rsidRPr="00A03D59">
              <w:rPr>
                <w:rFonts w:asciiTheme="minorHAnsi" w:eastAsia="Calibri" w:hAnsiTheme="minorHAnsi" w:cs="Calibri"/>
                <w:color w:val="000000" w:themeColor="text1"/>
                <w:spacing w:val="-6"/>
                <w:sz w:val="22"/>
                <w:szCs w:val="22"/>
              </w:rPr>
              <w:t xml:space="preserve"> argument</w:t>
            </w:r>
            <w:r w:rsidR="00106D94" w:rsidRPr="00A03D59">
              <w:rPr>
                <w:rFonts w:asciiTheme="minorHAnsi" w:eastAsia="Calibri" w:hAnsiTheme="minorHAnsi" w:cs="Calibri"/>
                <w:color w:val="000000" w:themeColor="text1"/>
                <w:spacing w:val="-6"/>
                <w:sz w:val="22"/>
                <w:szCs w:val="22"/>
              </w:rPr>
              <w:t xml:space="preserve"> in which the conclusion is supported by its premises</w:t>
            </w:r>
            <w:r w:rsidRPr="00A03D59">
              <w:rPr>
                <w:rFonts w:asciiTheme="minorHAnsi" w:eastAsia="Calibri" w:hAnsiTheme="minorHAnsi" w:cs="Calibri"/>
                <w:color w:val="000000" w:themeColor="text1"/>
                <w:spacing w:val="-6"/>
                <w:sz w:val="22"/>
                <w:szCs w:val="22"/>
              </w:rPr>
              <w:t xml:space="preserve">, </w:t>
            </w:r>
            <w:r w:rsidR="00D3274B" w:rsidRPr="00A03D59">
              <w:rPr>
                <w:rFonts w:asciiTheme="minorHAnsi" w:eastAsia="Calibri" w:hAnsiTheme="minorHAnsi" w:cs="Calibri"/>
                <w:color w:val="000000" w:themeColor="text1"/>
                <w:spacing w:val="-6"/>
                <w:sz w:val="22"/>
                <w:szCs w:val="22"/>
              </w:rPr>
              <w:t xml:space="preserve">using </w:t>
            </w:r>
            <w:r w:rsidRPr="00A03D59">
              <w:rPr>
                <w:rFonts w:asciiTheme="minorHAnsi" w:eastAsia="Calibri" w:hAnsiTheme="minorHAnsi" w:cs="Calibri"/>
                <w:color w:val="000000" w:themeColor="text1"/>
                <w:spacing w:val="-6"/>
                <w:sz w:val="22"/>
                <w:szCs w:val="22"/>
              </w:rPr>
              <w:t xml:space="preserve">evidence and  logical reasoning </w:t>
            </w:r>
          </w:p>
        </w:tc>
        <w:tc>
          <w:tcPr>
            <w:tcW w:w="331" w:type="pct"/>
          </w:tcPr>
          <w:p w:rsidR="008C0D30" w:rsidRPr="008C0D30" w:rsidRDefault="008C0D30" w:rsidP="004814BD">
            <w:pPr>
              <w:spacing w:before="40" w:after="0" w:line="216" w:lineRule="auto"/>
              <w:ind w:left="-29" w:right="-14"/>
              <w:rPr>
                <w:rFonts w:cstheme="minorHAnsi"/>
                <w:spacing w:val="-6"/>
                <w:sz w:val="23"/>
                <w:szCs w:val="23"/>
              </w:rPr>
            </w:pPr>
          </w:p>
        </w:tc>
      </w:tr>
      <w:tr w:rsidR="00A03D59" w:rsidRPr="008C0D30" w:rsidTr="004814BD">
        <w:trPr>
          <w:trHeight w:val="1616"/>
        </w:trPr>
        <w:tc>
          <w:tcPr>
            <w:tcW w:w="452" w:type="pct"/>
          </w:tcPr>
          <w:p w:rsidR="008C0D30" w:rsidRPr="00A03D59" w:rsidRDefault="008C0D30" w:rsidP="004814BD">
            <w:pPr>
              <w:spacing w:before="40" w:after="0" w:line="228" w:lineRule="auto"/>
              <w:ind w:right="-58"/>
              <w:jc w:val="center"/>
            </w:pPr>
            <w:r w:rsidRPr="00A03D59">
              <w:rPr>
                <w:rFonts w:cstheme="minorHAnsi"/>
                <w:spacing w:val="-6"/>
              </w:rPr>
              <w:t xml:space="preserve">Analyze </w:t>
            </w:r>
            <w:r w:rsidR="001C70C2" w:rsidRPr="00A03D59">
              <w:rPr>
                <w:rFonts w:cstheme="minorHAnsi"/>
                <w:spacing w:val="-6"/>
              </w:rPr>
              <w:t xml:space="preserve">an </w:t>
            </w:r>
            <w:r w:rsidRPr="00A03D59">
              <w:rPr>
                <w:rFonts w:cstheme="minorHAnsi"/>
                <w:spacing w:val="-6"/>
              </w:rPr>
              <w:t>Argument</w:t>
            </w:r>
          </w:p>
        </w:tc>
        <w:tc>
          <w:tcPr>
            <w:tcW w:w="951" w:type="pct"/>
          </w:tcPr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Does not deconstruct an argument into component parts</w:t>
            </w:r>
          </w:p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Fails to identify constraints and counterarguments</w:t>
            </w:r>
          </w:p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No use of evidence or reason in support of a claim</w:t>
            </w:r>
          </w:p>
        </w:tc>
        <w:tc>
          <w:tcPr>
            <w:tcW w:w="1038" w:type="pct"/>
          </w:tcPr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Partially deconstructs an argument into component parts</w:t>
            </w:r>
          </w:p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Identifies some constraints or counterarguments</w:t>
            </w:r>
          </w:p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Identifies evidence and reasons in support of a claim</w:t>
            </w:r>
          </w:p>
        </w:tc>
        <w:tc>
          <w:tcPr>
            <w:tcW w:w="978" w:type="pct"/>
          </w:tcPr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Deconstructs an argument into component parts</w:t>
            </w:r>
          </w:p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Identifies constraints and counterarguments</w:t>
            </w:r>
          </w:p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Incorporates evidence and reason in support of a claim</w:t>
            </w:r>
            <w:r w:rsidRPr="00A03D59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1250" w:type="pct"/>
          </w:tcPr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Deconstructs an argument into component parts and assesses the relevance and scope of those parts</w:t>
            </w:r>
          </w:p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Utilizes constraints and counterarguments, as appropriate</w:t>
            </w:r>
          </w:p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Prioritizes evidence and reasons in support of a claim</w:t>
            </w:r>
          </w:p>
        </w:tc>
        <w:tc>
          <w:tcPr>
            <w:tcW w:w="331" w:type="pct"/>
          </w:tcPr>
          <w:p w:rsidR="008C0D30" w:rsidRPr="008C0D30" w:rsidRDefault="008C0D30" w:rsidP="004814BD">
            <w:pPr>
              <w:spacing w:before="40" w:after="0" w:line="216" w:lineRule="auto"/>
              <w:ind w:left="-29" w:right="-14"/>
              <w:rPr>
                <w:rFonts w:cstheme="minorHAnsi"/>
                <w:spacing w:val="-6"/>
                <w:sz w:val="23"/>
                <w:szCs w:val="23"/>
              </w:rPr>
            </w:pPr>
          </w:p>
        </w:tc>
      </w:tr>
      <w:tr w:rsidR="00A03D59" w:rsidRPr="008C0D30" w:rsidTr="004814BD">
        <w:trPr>
          <w:trHeight w:val="623"/>
        </w:trPr>
        <w:tc>
          <w:tcPr>
            <w:tcW w:w="452" w:type="pct"/>
          </w:tcPr>
          <w:p w:rsidR="008C0D30" w:rsidRPr="00A03D59" w:rsidRDefault="008C0D30" w:rsidP="004814BD">
            <w:pPr>
              <w:spacing w:before="40" w:after="0" w:line="228" w:lineRule="auto"/>
              <w:ind w:right="-58"/>
              <w:jc w:val="center"/>
            </w:pPr>
            <w:r w:rsidRPr="00A03D59">
              <w:t xml:space="preserve">Evaluate </w:t>
            </w:r>
            <w:r w:rsidR="001C70C2" w:rsidRPr="00A03D59">
              <w:t>an Argument</w:t>
            </w:r>
          </w:p>
        </w:tc>
        <w:tc>
          <w:tcPr>
            <w:tcW w:w="951" w:type="pct"/>
          </w:tcPr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 xml:space="preserve">Unable to assess whether the argument’s premises are </w:t>
            </w:r>
            <w:r w:rsidR="00B517E7" w:rsidRPr="00A03D59">
              <w:rPr>
                <w:rFonts w:asciiTheme="minorHAnsi" w:hAnsiTheme="minorHAnsi" w:cs="Arial"/>
                <w:sz w:val="22"/>
                <w:szCs w:val="22"/>
              </w:rPr>
              <w:t xml:space="preserve">unacceptable, irrelevant, or </w:t>
            </w:r>
            <w:r w:rsidRPr="00A03D59">
              <w:rPr>
                <w:rFonts w:asciiTheme="minorHAnsi" w:hAnsiTheme="minorHAnsi" w:cs="Arial"/>
                <w:sz w:val="22"/>
                <w:szCs w:val="22"/>
              </w:rPr>
              <w:t>insufficient</w:t>
            </w:r>
            <w:r w:rsidR="00B517E7" w:rsidRPr="00A03D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03D59">
              <w:rPr>
                <w:rFonts w:asciiTheme="minorHAnsi" w:hAnsiTheme="minorHAnsi" w:cs="Arial"/>
                <w:sz w:val="22"/>
                <w:szCs w:val="22"/>
              </w:rPr>
              <w:t>for its conclusion</w:t>
            </w:r>
          </w:p>
        </w:tc>
        <w:tc>
          <w:tcPr>
            <w:tcW w:w="1038" w:type="pct"/>
          </w:tcPr>
          <w:p w:rsidR="004F38BF" w:rsidRPr="00A03D59" w:rsidRDefault="004F38BF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 xml:space="preserve">Unable to consistently determine validity or strength of an argument  </w:t>
            </w:r>
          </w:p>
          <w:p w:rsidR="008C0D30" w:rsidRPr="00A03D59" w:rsidRDefault="004F38BF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 xml:space="preserve">Incomplete assessment of the credibility of the premises, including the quality of evidence  </w:t>
            </w:r>
          </w:p>
        </w:tc>
        <w:tc>
          <w:tcPr>
            <w:tcW w:w="978" w:type="pct"/>
          </w:tcPr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 xml:space="preserve">Assesses whether the argument’s conclusion is sufficiently supported by its premises </w:t>
            </w:r>
          </w:p>
          <w:p w:rsidR="008C0D30" w:rsidRPr="00A03D59" w:rsidRDefault="008C0D30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Assesses the credibility of the premises, including the quality of evidence.</w:t>
            </w:r>
          </w:p>
        </w:tc>
        <w:tc>
          <w:tcPr>
            <w:tcW w:w="1250" w:type="pct"/>
          </w:tcPr>
          <w:p w:rsidR="0062622D" w:rsidRPr="00A03D59" w:rsidRDefault="0062622D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Identifies and judges  between competing mutually valid arguments</w:t>
            </w:r>
          </w:p>
          <w:p w:rsidR="008C0D30" w:rsidRPr="00A03D59" w:rsidRDefault="0062622D" w:rsidP="004814BD">
            <w:pPr>
              <w:pStyle w:val="NormalWeb"/>
              <w:numPr>
                <w:ilvl w:val="0"/>
                <w:numId w:val="2"/>
              </w:numPr>
              <w:spacing w:before="40" w:beforeAutospacing="0" w:after="0" w:afterAutospacing="0" w:line="228" w:lineRule="auto"/>
              <w:ind w:left="125" w:right="-58" w:hanging="162"/>
              <w:rPr>
                <w:rFonts w:asciiTheme="minorHAnsi" w:hAnsiTheme="minorHAnsi" w:cs="Arial"/>
                <w:sz w:val="22"/>
                <w:szCs w:val="22"/>
              </w:rPr>
            </w:pPr>
            <w:r w:rsidRPr="00A03D59">
              <w:rPr>
                <w:rFonts w:asciiTheme="minorHAnsi" w:hAnsiTheme="minorHAnsi" w:cs="Arial"/>
                <w:sz w:val="22"/>
                <w:szCs w:val="22"/>
              </w:rPr>
              <w:t>Offers an o</w:t>
            </w:r>
            <w:r w:rsidR="00AC5DA4" w:rsidRPr="00A03D59">
              <w:rPr>
                <w:rFonts w:asciiTheme="minorHAnsi" w:hAnsiTheme="minorHAnsi" w:cs="Arial"/>
                <w:sz w:val="22"/>
                <w:szCs w:val="22"/>
              </w:rPr>
              <w:t xml:space="preserve">riginal relevant </w:t>
            </w:r>
            <w:r w:rsidRPr="00A03D59">
              <w:rPr>
                <w:rFonts w:asciiTheme="minorHAnsi" w:hAnsiTheme="minorHAnsi" w:cs="Arial"/>
                <w:sz w:val="22"/>
                <w:szCs w:val="22"/>
              </w:rPr>
              <w:t>interpretation based on assessment of argument’s premises, assumptions, context, conclusions, and counterarguments</w:t>
            </w:r>
          </w:p>
        </w:tc>
        <w:tc>
          <w:tcPr>
            <w:tcW w:w="331" w:type="pct"/>
          </w:tcPr>
          <w:p w:rsidR="008C0D30" w:rsidRPr="008C0D30" w:rsidRDefault="008C0D30" w:rsidP="004814BD">
            <w:pPr>
              <w:spacing w:before="40" w:after="0" w:line="216" w:lineRule="auto"/>
              <w:ind w:left="-29" w:right="-14"/>
              <w:rPr>
                <w:rFonts w:cstheme="minorHAnsi"/>
                <w:spacing w:val="-6"/>
                <w:sz w:val="23"/>
                <w:szCs w:val="23"/>
              </w:rPr>
            </w:pPr>
          </w:p>
        </w:tc>
      </w:tr>
      <w:tr w:rsidR="008C0D30" w:rsidRPr="008C0D30" w:rsidTr="004814BD">
        <w:trPr>
          <w:trHeight w:val="498"/>
        </w:trPr>
        <w:tc>
          <w:tcPr>
            <w:tcW w:w="4669" w:type="pct"/>
            <w:gridSpan w:val="5"/>
            <w:vAlign w:val="center"/>
          </w:tcPr>
          <w:p w:rsidR="008C0D30" w:rsidRPr="00747F36" w:rsidRDefault="008C0D30" w:rsidP="004814BD">
            <w:pPr>
              <w:spacing w:after="0"/>
              <w:jc w:val="right"/>
              <w:rPr>
                <w:rFonts w:cstheme="minorHAnsi"/>
                <w:b/>
                <w:spacing w:val="-6"/>
                <w:sz w:val="23"/>
                <w:szCs w:val="23"/>
              </w:rPr>
            </w:pPr>
            <w:r w:rsidRPr="00747F36">
              <w:rPr>
                <w:rFonts w:cstheme="minorHAnsi"/>
                <w:b/>
                <w:spacing w:val="-6"/>
                <w:sz w:val="23"/>
                <w:szCs w:val="23"/>
              </w:rPr>
              <w:t>Overall Rating</w:t>
            </w:r>
          </w:p>
        </w:tc>
        <w:tc>
          <w:tcPr>
            <w:tcW w:w="331" w:type="pct"/>
          </w:tcPr>
          <w:p w:rsidR="008C0D30" w:rsidRPr="008C0D30" w:rsidRDefault="008C0D30" w:rsidP="004814BD">
            <w:pPr>
              <w:spacing w:before="40" w:after="0" w:line="216" w:lineRule="auto"/>
              <w:ind w:right="-14"/>
              <w:rPr>
                <w:rFonts w:cstheme="minorHAnsi"/>
                <w:spacing w:val="-6"/>
                <w:sz w:val="23"/>
                <w:szCs w:val="23"/>
              </w:rPr>
            </w:pPr>
          </w:p>
        </w:tc>
      </w:tr>
    </w:tbl>
    <w:p w:rsidR="00E17443" w:rsidRPr="0016769C" w:rsidRDefault="00E97F9A" w:rsidP="0016769C">
      <w:pPr>
        <w:spacing w:before="120" w:after="0" w:line="240" w:lineRule="auto"/>
        <w:ind w:left="547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514433E" wp14:editId="0564960A">
            <wp:extent cx="674989" cy="531628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75" cy="54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Benchmark </w:t>
      </w:r>
      <w:r w:rsidR="00747F36">
        <w:rPr>
          <w:b/>
          <w:sz w:val="24"/>
          <w:szCs w:val="24"/>
        </w:rPr>
        <w:t>TBD</w:t>
      </w:r>
      <w:r w:rsidR="0016769C">
        <w:rPr>
          <w:b/>
          <w:sz w:val="24"/>
          <w:szCs w:val="24"/>
        </w:rPr>
        <w:t xml:space="preserve">    </w:t>
      </w:r>
      <w:r w:rsidR="00D31153">
        <w:rPr>
          <w:sz w:val="24"/>
          <w:szCs w:val="24"/>
        </w:rPr>
        <w:t>70% of students will receive an average rubric score of 3.0 or better</w:t>
      </w:r>
    </w:p>
    <w:p w:rsidR="008C0D30" w:rsidRDefault="008C0D30" w:rsidP="008332D6">
      <w:pPr>
        <w:spacing w:after="0" w:line="240" w:lineRule="auto"/>
        <w:rPr>
          <w:rFonts w:eastAsia="Times New Roman" w:cstheme="minorHAnsi"/>
          <w:b/>
          <w:i/>
          <w:kern w:val="3"/>
          <w:sz w:val="25"/>
          <w:szCs w:val="25"/>
        </w:rPr>
      </w:pPr>
    </w:p>
    <w:tbl>
      <w:tblPr>
        <w:tblpPr w:leftFromText="180" w:rightFromText="180" w:vertAnchor="page" w:horzAnchor="margin" w:tblpXSpec="center" w:tblpY="815"/>
        <w:tblOverlap w:val="never"/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5"/>
      </w:tblGrid>
      <w:tr w:rsidR="008C0D30" w:rsidTr="00A03D59">
        <w:trPr>
          <w:trHeight w:val="1066"/>
        </w:trPr>
        <w:tc>
          <w:tcPr>
            <w:tcW w:w="14125" w:type="dxa"/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D30" w:rsidRPr="008A075E" w:rsidRDefault="008C0D30" w:rsidP="0016769C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 w:rsidRPr="00FE1CF3">
              <w:rPr>
                <w:rFonts w:cs="Arial"/>
                <w:b/>
                <w:sz w:val="26"/>
                <w:szCs w:val="26"/>
              </w:rPr>
              <w:t>Student Learning Outcome:  Analyze or construct arguments considering their premises, assumptions, contexts, conclusions, and anticipating counterarguments</w:t>
            </w:r>
          </w:p>
        </w:tc>
      </w:tr>
    </w:tbl>
    <w:p w:rsidR="00E17443" w:rsidRPr="00C347A0" w:rsidRDefault="00E17443" w:rsidP="00802904">
      <w:pPr>
        <w:pStyle w:val="Standard"/>
        <w:spacing w:before="120"/>
        <w:ind w:right="187"/>
        <w:jc w:val="center"/>
        <w:rPr>
          <w:rFonts w:asciiTheme="minorHAnsi" w:hAnsiTheme="minorHAnsi" w:cstheme="minorHAnsi"/>
          <w:b/>
          <w:bCs/>
          <w:i/>
          <w:sz w:val="25"/>
          <w:szCs w:val="25"/>
        </w:rPr>
      </w:pPr>
      <w:r w:rsidRPr="00C347A0">
        <w:rPr>
          <w:rFonts w:asciiTheme="minorHAnsi" w:hAnsiTheme="minorHAnsi" w:cstheme="minorHAnsi"/>
          <w:b/>
          <w:i/>
          <w:sz w:val="25"/>
          <w:szCs w:val="25"/>
          <w:lang w:val="en-US"/>
        </w:rPr>
        <w:t>Framing</w:t>
      </w:r>
      <w:r w:rsidRPr="00C347A0">
        <w:rPr>
          <w:rFonts w:asciiTheme="minorHAnsi" w:hAnsiTheme="minorHAnsi" w:cstheme="minorHAnsi"/>
          <w:b/>
          <w:bCs/>
          <w:i/>
          <w:sz w:val="25"/>
          <w:szCs w:val="25"/>
        </w:rPr>
        <w:t xml:space="preserve"> Language</w:t>
      </w:r>
    </w:p>
    <w:p w:rsidR="00E05013" w:rsidRDefault="009F57A2" w:rsidP="0016769C">
      <w:pPr>
        <w:pStyle w:val="Standard"/>
        <w:spacing w:before="120"/>
        <w:ind w:left="270" w:right="446"/>
        <w:rPr>
          <w:rFonts w:asciiTheme="minorHAnsi" w:hAnsiTheme="minorHAnsi" w:cstheme="minorHAnsi"/>
          <w:sz w:val="25"/>
          <w:szCs w:val="25"/>
          <w:lang w:val="en-US"/>
        </w:rPr>
      </w:pPr>
      <w:r>
        <w:rPr>
          <w:rFonts w:asciiTheme="minorHAnsi" w:hAnsiTheme="minorHAnsi" w:cstheme="minorHAnsi"/>
          <w:sz w:val="25"/>
          <w:szCs w:val="25"/>
          <w:lang w:val="en-US"/>
        </w:rPr>
        <w:t xml:space="preserve">This rubric is designed to be used across </w:t>
      </w:r>
      <w:r w:rsidR="005C328A">
        <w:rPr>
          <w:rFonts w:asciiTheme="minorHAnsi" w:hAnsiTheme="minorHAnsi" w:cstheme="minorHAnsi"/>
          <w:sz w:val="25"/>
          <w:szCs w:val="25"/>
          <w:lang w:val="en-US"/>
        </w:rPr>
        <w:t xml:space="preserve">multiple </w:t>
      </w:r>
      <w:r>
        <w:rPr>
          <w:rFonts w:asciiTheme="minorHAnsi" w:hAnsiTheme="minorHAnsi" w:cstheme="minorHAnsi"/>
          <w:sz w:val="25"/>
          <w:szCs w:val="25"/>
          <w:lang w:val="en-US"/>
        </w:rPr>
        <w:t>disciplines</w:t>
      </w:r>
      <w:r w:rsidR="005C328A">
        <w:rPr>
          <w:rFonts w:asciiTheme="minorHAnsi" w:hAnsiTheme="minorHAnsi" w:cstheme="minorHAnsi"/>
          <w:sz w:val="25"/>
          <w:szCs w:val="25"/>
          <w:lang w:val="en-US"/>
        </w:rPr>
        <w:t xml:space="preserve"> and </w:t>
      </w:r>
      <w:r w:rsidR="00D31153">
        <w:rPr>
          <w:rFonts w:asciiTheme="minorHAnsi" w:hAnsiTheme="minorHAnsi" w:cstheme="minorHAnsi"/>
          <w:sz w:val="25"/>
          <w:szCs w:val="25"/>
          <w:lang w:val="en-US"/>
        </w:rPr>
        <w:t>course structures (e.g., lectures, laboratories, capstone seminars)</w:t>
      </w:r>
      <w:r>
        <w:rPr>
          <w:rFonts w:asciiTheme="minorHAnsi" w:hAnsiTheme="minorHAnsi" w:cstheme="minorHAnsi"/>
          <w:sz w:val="25"/>
          <w:szCs w:val="25"/>
          <w:lang w:val="en-US"/>
        </w:rPr>
        <w:t xml:space="preserve">, as </w:t>
      </w:r>
      <w:r w:rsidR="005C328A">
        <w:rPr>
          <w:rFonts w:asciiTheme="minorHAnsi" w:hAnsiTheme="minorHAnsi" w:cstheme="minorHAnsi"/>
          <w:sz w:val="25"/>
          <w:szCs w:val="25"/>
          <w:lang w:val="en-US"/>
        </w:rPr>
        <w:t xml:space="preserve">the ability to analyze or construct arguments is </w:t>
      </w:r>
      <w:r w:rsidR="00D31153">
        <w:rPr>
          <w:rFonts w:asciiTheme="minorHAnsi" w:hAnsiTheme="minorHAnsi" w:cstheme="minorHAnsi"/>
          <w:sz w:val="25"/>
          <w:szCs w:val="25"/>
          <w:lang w:val="en-US"/>
        </w:rPr>
        <w:t xml:space="preserve">seen as an essential </w:t>
      </w:r>
      <w:r w:rsidR="00583368">
        <w:rPr>
          <w:rFonts w:asciiTheme="minorHAnsi" w:hAnsiTheme="minorHAnsi" w:cstheme="minorHAnsi"/>
          <w:sz w:val="25"/>
          <w:szCs w:val="25"/>
          <w:lang w:val="en-US"/>
        </w:rPr>
        <w:t>component of critical thinking across all disciplines</w:t>
      </w:r>
      <w:r>
        <w:rPr>
          <w:rFonts w:asciiTheme="minorHAnsi" w:hAnsiTheme="minorHAnsi" w:cstheme="minorHAnsi"/>
          <w:sz w:val="25"/>
          <w:szCs w:val="25"/>
          <w:lang w:val="en-US"/>
        </w:rPr>
        <w:t xml:space="preserve">. </w:t>
      </w:r>
      <w:r w:rsidR="00663B03" w:rsidRPr="00663B03">
        <w:rPr>
          <w:rFonts w:asciiTheme="minorHAnsi" w:hAnsiTheme="minorHAnsi" w:cstheme="minorHAnsi"/>
          <w:sz w:val="25"/>
          <w:szCs w:val="25"/>
          <w:lang w:val="en-US"/>
        </w:rPr>
        <w:t xml:space="preserve">The rubric is designed to assess student artifacts in a variety of assignments including, but not limited to, essays, case studies, and </w:t>
      </w:r>
      <w:r w:rsidR="00495985">
        <w:rPr>
          <w:rFonts w:asciiTheme="minorHAnsi" w:hAnsiTheme="minorHAnsi" w:cstheme="minorHAnsi"/>
          <w:sz w:val="25"/>
          <w:szCs w:val="25"/>
          <w:lang w:val="en-US"/>
        </w:rPr>
        <w:t>debates</w:t>
      </w:r>
      <w:r w:rsidR="00663B03">
        <w:rPr>
          <w:rFonts w:asciiTheme="minorHAnsi" w:hAnsiTheme="minorHAnsi" w:cstheme="minorHAnsi"/>
          <w:sz w:val="25"/>
          <w:szCs w:val="25"/>
          <w:lang w:val="en-US"/>
        </w:rPr>
        <w:t xml:space="preserve">, given that the student has the opportunity to complete an analysis or text, data, or issues. </w:t>
      </w:r>
      <w:r w:rsidR="00663B03" w:rsidRPr="00663B03">
        <w:rPr>
          <w:rFonts w:asciiTheme="minorHAnsi" w:hAnsiTheme="minorHAnsi" w:cstheme="minorHAnsi"/>
          <w:sz w:val="25"/>
          <w:szCs w:val="25"/>
          <w:lang w:val="en-US"/>
        </w:rPr>
        <w:t xml:space="preserve"> </w:t>
      </w:r>
      <w:r w:rsidR="00663B03">
        <w:rPr>
          <w:rFonts w:asciiTheme="minorHAnsi" w:hAnsiTheme="minorHAnsi" w:cstheme="minorHAnsi"/>
          <w:sz w:val="25"/>
          <w:szCs w:val="25"/>
          <w:lang w:val="en-US"/>
        </w:rPr>
        <w:t xml:space="preserve">The ability of a student to analyze or construct an argument, while considering the weight of the facts, </w:t>
      </w:r>
      <w:r w:rsidR="00495985">
        <w:rPr>
          <w:rFonts w:asciiTheme="minorHAnsi" w:hAnsiTheme="minorHAnsi" w:cstheme="minorHAnsi"/>
          <w:sz w:val="25"/>
          <w:szCs w:val="25"/>
          <w:lang w:val="en-US"/>
        </w:rPr>
        <w:t xml:space="preserve">context, </w:t>
      </w:r>
      <w:r w:rsidR="00663B03">
        <w:rPr>
          <w:rFonts w:asciiTheme="minorHAnsi" w:hAnsiTheme="minorHAnsi" w:cstheme="minorHAnsi"/>
          <w:sz w:val="25"/>
          <w:szCs w:val="25"/>
          <w:lang w:val="en-US"/>
        </w:rPr>
        <w:t>assumptions,</w:t>
      </w:r>
      <w:r w:rsidR="00495985">
        <w:rPr>
          <w:rFonts w:asciiTheme="minorHAnsi" w:hAnsiTheme="minorHAnsi" w:cstheme="minorHAnsi"/>
          <w:sz w:val="25"/>
          <w:szCs w:val="25"/>
          <w:lang w:val="en-US"/>
        </w:rPr>
        <w:t xml:space="preserve"> and conclusions is the focus of this </w:t>
      </w:r>
      <w:r w:rsidR="0016769C">
        <w:rPr>
          <w:rFonts w:asciiTheme="minorHAnsi" w:hAnsiTheme="minorHAnsi" w:cstheme="minorHAnsi"/>
          <w:sz w:val="25"/>
          <w:szCs w:val="25"/>
          <w:lang w:val="en-US"/>
        </w:rPr>
        <w:t xml:space="preserve">outcome and </w:t>
      </w:r>
      <w:r w:rsidR="00495985">
        <w:rPr>
          <w:rFonts w:asciiTheme="minorHAnsi" w:hAnsiTheme="minorHAnsi" w:cstheme="minorHAnsi"/>
          <w:sz w:val="25"/>
          <w:szCs w:val="25"/>
          <w:lang w:val="en-US"/>
        </w:rPr>
        <w:t>rubric</w:t>
      </w:r>
      <w:r w:rsidR="0016769C">
        <w:rPr>
          <w:rFonts w:asciiTheme="minorHAnsi" w:hAnsiTheme="minorHAnsi" w:cstheme="minorHAnsi"/>
          <w:sz w:val="25"/>
          <w:szCs w:val="25"/>
          <w:lang w:val="en-US"/>
        </w:rPr>
        <w:t>.</w:t>
      </w:r>
    </w:p>
    <w:p w:rsidR="009F57A2" w:rsidRPr="009F57A2" w:rsidRDefault="009F57A2" w:rsidP="0016769C">
      <w:pPr>
        <w:pStyle w:val="Standard"/>
        <w:spacing w:before="360"/>
        <w:ind w:left="274" w:right="446"/>
        <w:jc w:val="center"/>
        <w:rPr>
          <w:rFonts w:asciiTheme="minorHAnsi" w:hAnsiTheme="minorHAnsi" w:cstheme="minorHAnsi"/>
          <w:b/>
          <w:i/>
          <w:sz w:val="25"/>
          <w:szCs w:val="25"/>
          <w:lang w:val="en-US"/>
        </w:rPr>
      </w:pPr>
      <w:r w:rsidRPr="009F57A2">
        <w:rPr>
          <w:rFonts w:asciiTheme="minorHAnsi" w:hAnsiTheme="minorHAnsi" w:cstheme="minorHAnsi"/>
          <w:b/>
          <w:i/>
          <w:sz w:val="25"/>
          <w:szCs w:val="25"/>
          <w:lang w:val="en-US"/>
        </w:rPr>
        <w:t>Glossary</w:t>
      </w:r>
    </w:p>
    <w:p w:rsidR="009F57A2" w:rsidRDefault="009F57A2" w:rsidP="00E17443">
      <w:pPr>
        <w:pStyle w:val="Standard"/>
        <w:spacing w:before="120"/>
        <w:ind w:left="270" w:right="446"/>
        <w:rPr>
          <w:rFonts w:asciiTheme="minorHAnsi" w:hAnsiTheme="minorHAnsi" w:cstheme="minorHAnsi"/>
          <w:sz w:val="25"/>
          <w:szCs w:val="25"/>
          <w:lang w:val="en-US"/>
        </w:rPr>
      </w:pPr>
      <w:r>
        <w:rPr>
          <w:rFonts w:asciiTheme="minorHAnsi" w:hAnsiTheme="minorHAnsi" w:cstheme="minorHAnsi"/>
          <w:sz w:val="25"/>
          <w:szCs w:val="25"/>
          <w:lang w:val="en-US"/>
        </w:rPr>
        <w:t>Argument</w:t>
      </w:r>
      <w:r w:rsidR="00495985">
        <w:rPr>
          <w:rFonts w:asciiTheme="minorHAnsi" w:hAnsiTheme="minorHAnsi" w:cstheme="minorHAnsi"/>
          <w:sz w:val="25"/>
          <w:szCs w:val="25"/>
          <w:lang w:val="en-US"/>
        </w:rPr>
        <w:t xml:space="preserve">: </w:t>
      </w:r>
      <w:r w:rsidR="003114BE">
        <w:rPr>
          <w:rFonts w:asciiTheme="minorHAnsi" w:hAnsiTheme="minorHAnsi" w:cstheme="minorHAnsi"/>
          <w:sz w:val="25"/>
          <w:szCs w:val="25"/>
          <w:lang w:val="en-US"/>
        </w:rPr>
        <w:t xml:space="preserve">The development of a </w:t>
      </w:r>
      <w:r w:rsidR="00495985">
        <w:rPr>
          <w:rFonts w:asciiTheme="minorHAnsi" w:hAnsiTheme="minorHAnsi" w:cstheme="minorHAnsi"/>
          <w:sz w:val="25"/>
          <w:szCs w:val="25"/>
          <w:lang w:val="en-US"/>
        </w:rPr>
        <w:t xml:space="preserve">clear, reasonable, </w:t>
      </w:r>
      <w:r w:rsidR="003114BE">
        <w:rPr>
          <w:rFonts w:asciiTheme="minorHAnsi" w:hAnsiTheme="minorHAnsi" w:cstheme="minorHAnsi"/>
          <w:sz w:val="25"/>
          <w:szCs w:val="25"/>
          <w:lang w:val="en-US"/>
        </w:rPr>
        <w:t xml:space="preserve">and </w:t>
      </w:r>
      <w:r w:rsidR="00495985">
        <w:rPr>
          <w:rFonts w:asciiTheme="minorHAnsi" w:hAnsiTheme="minorHAnsi" w:cstheme="minorHAnsi"/>
          <w:sz w:val="25"/>
          <w:szCs w:val="25"/>
          <w:lang w:val="en-US"/>
        </w:rPr>
        <w:t xml:space="preserve">logical </w:t>
      </w:r>
      <w:r w:rsidR="003114BE">
        <w:rPr>
          <w:rFonts w:asciiTheme="minorHAnsi" w:hAnsiTheme="minorHAnsi" w:cstheme="minorHAnsi"/>
          <w:sz w:val="25"/>
          <w:szCs w:val="25"/>
          <w:lang w:val="en-US"/>
        </w:rPr>
        <w:t>claim based on evidence</w:t>
      </w:r>
      <w:r w:rsidR="00495985">
        <w:rPr>
          <w:rFonts w:asciiTheme="minorHAnsi" w:hAnsiTheme="minorHAnsi" w:cstheme="minorHAnsi"/>
          <w:sz w:val="25"/>
          <w:szCs w:val="25"/>
          <w:lang w:val="en-US"/>
        </w:rPr>
        <w:t xml:space="preserve"> </w:t>
      </w:r>
      <w:r>
        <w:rPr>
          <w:rFonts w:asciiTheme="minorHAnsi" w:hAnsiTheme="minorHAnsi" w:cstheme="minorHAnsi"/>
          <w:sz w:val="25"/>
          <w:szCs w:val="25"/>
          <w:lang w:val="en-US"/>
        </w:rPr>
        <w:t xml:space="preserve"> </w:t>
      </w:r>
    </w:p>
    <w:p w:rsidR="00495985" w:rsidRPr="00495985" w:rsidRDefault="00747F36" w:rsidP="00E17443">
      <w:pPr>
        <w:pStyle w:val="Standard"/>
        <w:spacing w:before="120"/>
        <w:ind w:left="270" w:right="446"/>
        <w:rPr>
          <w:rFonts w:asciiTheme="minorHAnsi" w:hAnsiTheme="minorHAnsi" w:cstheme="minorHAnsi"/>
          <w:sz w:val="25"/>
          <w:szCs w:val="25"/>
          <w:lang w:val="en-US"/>
        </w:rPr>
      </w:pPr>
      <w:r>
        <w:rPr>
          <w:rFonts w:asciiTheme="minorHAnsi" w:hAnsiTheme="minorHAnsi" w:cstheme="minorHAnsi"/>
          <w:sz w:val="25"/>
          <w:szCs w:val="25"/>
          <w:lang w:val="en-US"/>
        </w:rPr>
        <w:t>P</w:t>
      </w:r>
      <w:r w:rsidR="00D31153">
        <w:rPr>
          <w:rFonts w:asciiTheme="minorHAnsi" w:hAnsiTheme="minorHAnsi" w:cstheme="minorHAnsi"/>
          <w:sz w:val="25"/>
          <w:szCs w:val="25"/>
        </w:rPr>
        <w:t>remise</w:t>
      </w:r>
      <w:r w:rsidR="00D31153">
        <w:rPr>
          <w:rFonts w:asciiTheme="minorHAnsi" w:hAnsiTheme="minorHAnsi" w:cstheme="minorHAnsi"/>
          <w:sz w:val="25"/>
          <w:szCs w:val="25"/>
          <w:lang w:val="en-US"/>
        </w:rPr>
        <w:t xml:space="preserve">: </w:t>
      </w:r>
      <w:r w:rsidR="00D31153" w:rsidRPr="00D31153">
        <w:rPr>
          <w:rFonts w:asciiTheme="minorHAnsi" w:hAnsiTheme="minorHAnsi" w:cstheme="minorHAnsi"/>
          <w:sz w:val="25"/>
          <w:szCs w:val="25"/>
        </w:rPr>
        <w:t>an idea or theory on which a statement or action is based</w:t>
      </w:r>
      <w:r w:rsidR="00495985">
        <w:rPr>
          <w:rFonts w:asciiTheme="minorHAnsi" w:hAnsiTheme="minorHAnsi" w:cstheme="minorHAnsi"/>
          <w:sz w:val="25"/>
          <w:szCs w:val="25"/>
          <w:lang w:val="en-US"/>
        </w:rPr>
        <w:tab/>
      </w:r>
      <w:r w:rsidR="00701C99">
        <w:rPr>
          <w:rFonts w:asciiTheme="minorHAnsi" w:hAnsiTheme="minorHAnsi" w:cstheme="minorHAnsi"/>
          <w:sz w:val="25"/>
          <w:szCs w:val="25"/>
          <w:lang w:val="en-US"/>
        </w:rPr>
        <w:t>(Cambridge English Dictionary)</w:t>
      </w:r>
    </w:p>
    <w:p w:rsidR="00747F36" w:rsidRPr="009F57A2" w:rsidRDefault="00747F36" w:rsidP="00E17443">
      <w:pPr>
        <w:pStyle w:val="Standard"/>
        <w:spacing w:before="120"/>
        <w:ind w:left="270" w:right="446"/>
        <w:rPr>
          <w:rFonts w:asciiTheme="minorHAnsi" w:hAnsiTheme="minorHAnsi" w:cstheme="minorHAnsi"/>
          <w:sz w:val="25"/>
          <w:szCs w:val="25"/>
          <w:lang w:val="en-US"/>
        </w:rPr>
      </w:pPr>
      <w:r>
        <w:rPr>
          <w:rFonts w:asciiTheme="minorHAnsi" w:hAnsiTheme="minorHAnsi" w:cstheme="minorHAnsi"/>
          <w:sz w:val="25"/>
          <w:szCs w:val="25"/>
          <w:lang w:val="en-US"/>
        </w:rPr>
        <w:t>A</w:t>
      </w:r>
      <w:r>
        <w:rPr>
          <w:rFonts w:asciiTheme="minorHAnsi" w:hAnsiTheme="minorHAnsi" w:cstheme="minorHAnsi"/>
          <w:sz w:val="25"/>
          <w:szCs w:val="25"/>
        </w:rPr>
        <w:t>ssumptions</w:t>
      </w:r>
      <w:r w:rsidR="009F57A2">
        <w:rPr>
          <w:rFonts w:asciiTheme="minorHAnsi" w:hAnsiTheme="minorHAnsi" w:cstheme="minorHAnsi"/>
          <w:sz w:val="25"/>
          <w:szCs w:val="25"/>
          <w:lang w:val="en-US"/>
        </w:rPr>
        <w:t xml:space="preserve">: </w:t>
      </w:r>
      <w:r w:rsidR="009F57A2" w:rsidRPr="009F57A2">
        <w:rPr>
          <w:rFonts w:asciiTheme="minorHAnsi" w:hAnsiTheme="minorHAnsi" w:cstheme="minorHAnsi"/>
          <w:sz w:val="25"/>
          <w:szCs w:val="25"/>
          <w:lang w:val="en-US"/>
        </w:rPr>
        <w:t>Ideas, conditions, or beliefs (often implicit or unstated) that are "taken for granted or accepted as true without proof"</w:t>
      </w:r>
      <w:r w:rsidR="003114BE">
        <w:rPr>
          <w:rFonts w:asciiTheme="minorHAnsi" w:hAnsiTheme="minorHAnsi" w:cstheme="minorHAnsi"/>
          <w:sz w:val="25"/>
          <w:szCs w:val="25"/>
          <w:lang w:val="en-US"/>
        </w:rPr>
        <w:t xml:space="preserve"> (AACU Value Rubric)</w:t>
      </w:r>
    </w:p>
    <w:p w:rsidR="00747F36" w:rsidRPr="003114BE" w:rsidRDefault="00747F36" w:rsidP="00E17443">
      <w:pPr>
        <w:pStyle w:val="Standard"/>
        <w:spacing w:before="120"/>
        <w:ind w:left="270" w:right="446"/>
        <w:rPr>
          <w:rFonts w:asciiTheme="minorHAnsi" w:hAnsiTheme="minorHAnsi" w:cstheme="minorHAnsi"/>
          <w:sz w:val="25"/>
          <w:szCs w:val="25"/>
          <w:lang w:val="en-US"/>
        </w:rPr>
      </w:pPr>
      <w:r>
        <w:rPr>
          <w:rFonts w:asciiTheme="minorHAnsi" w:hAnsiTheme="minorHAnsi" w:cstheme="minorHAnsi"/>
          <w:sz w:val="25"/>
          <w:szCs w:val="25"/>
          <w:lang w:val="en-US"/>
        </w:rPr>
        <w:t>C</w:t>
      </w:r>
      <w:r>
        <w:rPr>
          <w:rFonts w:asciiTheme="minorHAnsi" w:hAnsiTheme="minorHAnsi" w:cstheme="minorHAnsi"/>
          <w:sz w:val="25"/>
          <w:szCs w:val="25"/>
        </w:rPr>
        <w:t>ontexts</w:t>
      </w:r>
      <w:r w:rsidR="0016769C">
        <w:rPr>
          <w:rFonts w:asciiTheme="minorHAnsi" w:hAnsiTheme="minorHAnsi" w:cstheme="minorHAnsi"/>
          <w:sz w:val="25"/>
          <w:szCs w:val="25"/>
          <w:lang w:val="en-US"/>
        </w:rPr>
        <w:t xml:space="preserve">: </w:t>
      </w:r>
      <w:r w:rsidRPr="00747F36">
        <w:rPr>
          <w:rFonts w:asciiTheme="minorHAnsi" w:hAnsiTheme="minorHAnsi" w:cstheme="minorHAnsi"/>
          <w:sz w:val="25"/>
          <w:szCs w:val="25"/>
        </w:rPr>
        <w:t xml:space="preserve"> </w:t>
      </w:r>
      <w:r w:rsidR="009F57A2" w:rsidRPr="009F57A2">
        <w:rPr>
          <w:rFonts w:asciiTheme="minorHAnsi" w:hAnsiTheme="minorHAnsi" w:cstheme="minorHAnsi"/>
          <w:sz w:val="25"/>
          <w:szCs w:val="25"/>
        </w:rPr>
        <w:t>The historical, ethical, political, cultural, environmental, or circumstantial settings or conditions that influence and complicate the consideration of any issues, ideas, artifacts, and events</w:t>
      </w:r>
      <w:r w:rsidR="003114BE">
        <w:rPr>
          <w:rFonts w:asciiTheme="minorHAnsi" w:hAnsiTheme="minorHAnsi" w:cstheme="minorHAnsi"/>
          <w:sz w:val="25"/>
          <w:szCs w:val="25"/>
          <w:lang w:val="en-US"/>
        </w:rPr>
        <w:t xml:space="preserve"> (AACU Value Rubric)</w:t>
      </w:r>
    </w:p>
    <w:p w:rsidR="00E17443" w:rsidRPr="008A075E" w:rsidRDefault="00E17443" w:rsidP="00E17443">
      <w:pPr>
        <w:pStyle w:val="Standard"/>
        <w:spacing w:before="120"/>
        <w:ind w:left="270" w:right="446"/>
        <w:rPr>
          <w:rFonts w:asciiTheme="minorHAnsi" w:hAnsiTheme="minorHAnsi" w:cstheme="minorHAnsi"/>
          <w:sz w:val="25"/>
          <w:szCs w:val="25"/>
        </w:rPr>
      </w:pPr>
      <w:r w:rsidRPr="008A075E">
        <w:rPr>
          <w:rFonts w:asciiTheme="minorHAnsi" w:hAnsiTheme="minorHAnsi" w:cstheme="minorHAnsi"/>
          <w:sz w:val="25"/>
          <w:szCs w:val="25"/>
        </w:rPr>
        <w:t>    </w:t>
      </w:r>
    </w:p>
    <w:p w:rsidR="0016769C" w:rsidRDefault="0016769C" w:rsidP="0016769C">
      <w:pPr>
        <w:pStyle w:val="Standard"/>
        <w:spacing w:before="120"/>
        <w:ind w:left="270" w:right="446"/>
        <w:rPr>
          <w:rFonts w:asciiTheme="minorHAnsi" w:hAnsiTheme="minorHAnsi" w:cstheme="minorHAnsi"/>
          <w:sz w:val="25"/>
          <w:szCs w:val="25"/>
          <w:lang w:val="en-US"/>
        </w:rPr>
      </w:pPr>
      <w:r>
        <w:rPr>
          <w:rFonts w:asciiTheme="minorHAnsi" w:hAnsiTheme="minorHAnsi" w:cstheme="minorHAnsi"/>
          <w:sz w:val="25"/>
          <w:szCs w:val="25"/>
          <w:lang w:val="en-US"/>
        </w:rPr>
        <w:t xml:space="preserve">This outcome is one of four of RIT’s </w:t>
      </w:r>
      <w:r>
        <w:rPr>
          <w:rFonts w:asciiTheme="minorHAnsi" w:hAnsiTheme="minorHAnsi" w:cstheme="minorHAnsi"/>
          <w:sz w:val="25"/>
          <w:szCs w:val="25"/>
          <w:lang w:val="en-US"/>
        </w:rPr>
        <w:t xml:space="preserve">Critical Thinking General Education </w:t>
      </w:r>
      <w:r>
        <w:rPr>
          <w:rFonts w:asciiTheme="minorHAnsi" w:hAnsiTheme="minorHAnsi" w:cstheme="minorHAnsi"/>
          <w:sz w:val="25"/>
          <w:szCs w:val="25"/>
          <w:lang w:val="en-US"/>
        </w:rPr>
        <w:t>Student L</w:t>
      </w:r>
      <w:r>
        <w:rPr>
          <w:rFonts w:asciiTheme="minorHAnsi" w:hAnsiTheme="minorHAnsi" w:cstheme="minorHAnsi"/>
          <w:sz w:val="25"/>
          <w:szCs w:val="25"/>
          <w:lang w:val="en-US"/>
        </w:rPr>
        <w:t xml:space="preserve">earning </w:t>
      </w:r>
      <w:r>
        <w:rPr>
          <w:rFonts w:asciiTheme="minorHAnsi" w:hAnsiTheme="minorHAnsi" w:cstheme="minorHAnsi"/>
          <w:sz w:val="25"/>
          <w:szCs w:val="25"/>
          <w:lang w:val="en-US"/>
        </w:rPr>
        <w:t>O</w:t>
      </w:r>
      <w:r>
        <w:rPr>
          <w:rFonts w:asciiTheme="minorHAnsi" w:hAnsiTheme="minorHAnsi" w:cstheme="minorHAnsi"/>
          <w:sz w:val="25"/>
          <w:szCs w:val="25"/>
          <w:lang w:val="en-US"/>
        </w:rPr>
        <w:t xml:space="preserve">utcomes:    </w:t>
      </w:r>
    </w:p>
    <w:p w:rsidR="0016769C" w:rsidRPr="001247C1" w:rsidRDefault="0016769C" w:rsidP="0016769C">
      <w:pPr>
        <w:pStyle w:val="Standard"/>
        <w:numPr>
          <w:ilvl w:val="0"/>
          <w:numId w:val="3"/>
        </w:numPr>
        <w:spacing w:before="40"/>
        <w:ind w:left="994" w:right="446"/>
        <w:rPr>
          <w:rFonts w:asciiTheme="minorHAnsi" w:hAnsiTheme="minorHAnsi" w:cstheme="minorHAnsi"/>
          <w:sz w:val="25"/>
          <w:szCs w:val="25"/>
          <w:lang w:val="en-US"/>
        </w:rPr>
      </w:pPr>
      <w:r w:rsidRPr="003114BE">
        <w:rPr>
          <w:rFonts w:asciiTheme="minorHAnsi" w:hAnsiTheme="minorHAnsi" w:cstheme="minorHAnsi"/>
          <w:i/>
          <w:sz w:val="25"/>
          <w:szCs w:val="25"/>
          <w:lang w:val="en-US"/>
        </w:rPr>
        <w:t>Use relevant evidence gathered through accepted scholarly methods</w:t>
      </w:r>
      <w:r>
        <w:rPr>
          <w:rFonts w:asciiTheme="minorHAnsi" w:hAnsiTheme="minorHAnsi" w:cstheme="minorHAnsi"/>
          <w:i/>
          <w:sz w:val="25"/>
          <w:szCs w:val="25"/>
          <w:lang w:val="en-US"/>
        </w:rPr>
        <w:t xml:space="preserve"> and properly acknowledge sources of information</w:t>
      </w:r>
    </w:p>
    <w:p w:rsidR="0016769C" w:rsidRPr="001247C1" w:rsidRDefault="0016769C" w:rsidP="0016769C">
      <w:pPr>
        <w:pStyle w:val="Standard"/>
        <w:numPr>
          <w:ilvl w:val="0"/>
          <w:numId w:val="3"/>
        </w:numPr>
        <w:spacing w:before="40"/>
        <w:ind w:left="994" w:right="446"/>
        <w:rPr>
          <w:rFonts w:asciiTheme="minorHAnsi" w:hAnsiTheme="minorHAnsi" w:cstheme="minorHAnsi"/>
          <w:sz w:val="25"/>
          <w:szCs w:val="25"/>
          <w:lang w:val="en-US"/>
        </w:rPr>
      </w:pPr>
      <w:r w:rsidRPr="003114BE">
        <w:rPr>
          <w:rFonts w:asciiTheme="minorHAnsi" w:hAnsiTheme="minorHAnsi" w:cstheme="minorHAnsi"/>
          <w:i/>
          <w:sz w:val="25"/>
          <w:szCs w:val="25"/>
          <w:lang w:val="en-US"/>
        </w:rPr>
        <w:t>Reach sound conclusions based on logical analysis of evidence</w:t>
      </w:r>
    </w:p>
    <w:p w:rsidR="0016769C" w:rsidRDefault="0016769C" w:rsidP="0016769C">
      <w:pPr>
        <w:pStyle w:val="Standard"/>
        <w:numPr>
          <w:ilvl w:val="0"/>
          <w:numId w:val="3"/>
        </w:numPr>
        <w:spacing w:before="40"/>
        <w:ind w:left="994" w:right="446"/>
        <w:rPr>
          <w:rFonts w:asciiTheme="minorHAnsi" w:hAnsiTheme="minorHAnsi" w:cstheme="minorHAnsi"/>
          <w:sz w:val="25"/>
          <w:szCs w:val="25"/>
          <w:lang w:val="en-US"/>
        </w:rPr>
      </w:pPr>
      <w:r>
        <w:rPr>
          <w:rFonts w:asciiTheme="minorHAnsi" w:hAnsiTheme="minorHAnsi" w:cstheme="minorHAnsi"/>
          <w:i/>
          <w:sz w:val="25"/>
          <w:szCs w:val="25"/>
          <w:lang w:val="en-US"/>
        </w:rPr>
        <w:t>Demonstrate creative or innovative approaches to assignments or projects</w:t>
      </w:r>
    </w:p>
    <w:p w:rsidR="00E17443" w:rsidRPr="0091539D" w:rsidRDefault="00E17443" w:rsidP="00E17443">
      <w:pPr>
        <w:spacing w:before="60" w:after="0" w:line="228" w:lineRule="auto"/>
        <w:rPr>
          <w:sz w:val="24"/>
          <w:szCs w:val="24"/>
        </w:rPr>
      </w:pPr>
    </w:p>
    <w:p w:rsidR="00E17443" w:rsidRDefault="00E17443" w:rsidP="00E17443">
      <w:pPr>
        <w:tabs>
          <w:tab w:val="left" w:pos="13143"/>
        </w:tabs>
        <w:spacing w:before="120" w:after="120" w:line="240" w:lineRule="auto"/>
        <w:ind w:left="540"/>
        <w:rPr>
          <w:rFonts w:asciiTheme="majorHAnsi" w:hAnsiTheme="majorHAnsi" w:cstheme="minorHAnsi"/>
          <w:b/>
          <w:sz w:val="20"/>
          <w:szCs w:val="20"/>
        </w:rPr>
      </w:pPr>
      <w:r>
        <w:rPr>
          <w:sz w:val="24"/>
          <w:szCs w:val="24"/>
        </w:rPr>
        <w:tab/>
      </w:r>
    </w:p>
    <w:p w:rsidR="009A4D1B" w:rsidRDefault="00FE1CF3" w:rsidP="00FE1CF3">
      <w:pPr>
        <w:tabs>
          <w:tab w:val="left" w:pos="13143"/>
        </w:tabs>
        <w:spacing w:before="120" w:after="120" w:line="240" w:lineRule="auto"/>
        <w:ind w:left="540"/>
        <w:rPr>
          <w:rFonts w:asciiTheme="majorHAnsi" w:hAnsiTheme="majorHAnsi" w:cstheme="minorHAnsi"/>
          <w:b/>
          <w:sz w:val="20"/>
          <w:szCs w:val="20"/>
        </w:rPr>
      </w:pPr>
      <w:r>
        <w:rPr>
          <w:sz w:val="24"/>
          <w:szCs w:val="24"/>
        </w:rPr>
        <w:tab/>
      </w:r>
    </w:p>
    <w:sectPr w:rsidR="009A4D1B" w:rsidSect="00A03D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80" w:right="432" w:bottom="288" w:left="432" w:header="27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4A" w:rsidRDefault="001A114A" w:rsidP="000B209A">
      <w:pPr>
        <w:spacing w:after="0" w:line="240" w:lineRule="auto"/>
      </w:pPr>
      <w:r>
        <w:separator/>
      </w:r>
    </w:p>
  </w:endnote>
  <w:endnote w:type="continuationSeparator" w:id="0">
    <w:p w:rsidR="001A114A" w:rsidRDefault="001A114A" w:rsidP="000B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9C" w:rsidRDefault="00167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85"/>
      <w:gridCol w:w="1521"/>
    </w:tblGrid>
    <w:tr w:rsidR="009A23DC" w:rsidTr="00164681">
      <w:tc>
        <w:tcPr>
          <w:tcW w:w="4500" w:type="pct"/>
          <w:tcBorders>
            <w:top w:val="single" w:sz="4" w:space="0" w:color="000000" w:themeColor="text1"/>
          </w:tcBorders>
        </w:tcPr>
        <w:p w:rsidR="009A23DC" w:rsidRDefault="001A114A" w:rsidP="00164681">
          <w:pPr>
            <w:pStyle w:val="Footer"/>
            <w:jc w:val="right"/>
          </w:pPr>
          <w:sdt>
            <w:sdtPr>
              <w:alias w:val="Company"/>
              <w:id w:val="-1366369140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A23DC">
                <w:t>Rochester Institute of Technology</w:t>
              </w:r>
            </w:sdtContent>
          </w:sdt>
          <w:r w:rsidR="009A23DC">
            <w:t xml:space="preserve"> |General Education SLO Rubric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36C0A" w:themeFill="accent6" w:themeFillShade="BF"/>
        </w:tcPr>
        <w:p w:rsidR="009A23DC" w:rsidRPr="001C54EC" w:rsidRDefault="00FE1CF3" w:rsidP="001052E1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2016-17</w:t>
          </w:r>
        </w:p>
      </w:tc>
    </w:tr>
  </w:tbl>
  <w:p w:rsidR="009A23DC" w:rsidRDefault="009A23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9C" w:rsidRDefault="00167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4A" w:rsidRDefault="001A114A" w:rsidP="000B209A">
      <w:pPr>
        <w:spacing w:after="0" w:line="240" w:lineRule="auto"/>
      </w:pPr>
      <w:r>
        <w:separator/>
      </w:r>
    </w:p>
  </w:footnote>
  <w:footnote w:type="continuationSeparator" w:id="0">
    <w:p w:rsidR="001A114A" w:rsidRDefault="001A114A" w:rsidP="000B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9C" w:rsidRDefault="00167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sz w:val="24"/>
        <w:szCs w:val="24"/>
      </w:rPr>
      <w:id w:val="-403994757"/>
      <w:docPartObj>
        <w:docPartGallery w:val="Watermarks"/>
        <w:docPartUnique/>
      </w:docPartObj>
    </w:sdtPr>
    <w:sdtContent>
      <w:p w:rsidR="00527AA4" w:rsidRPr="000B209A" w:rsidRDefault="0016769C" w:rsidP="000B209A">
        <w:pPr>
          <w:pStyle w:val="Header"/>
          <w:jc w:val="center"/>
          <w:rPr>
            <w:rFonts w:asciiTheme="majorHAnsi" w:hAnsiTheme="majorHAnsi"/>
            <w:b/>
            <w:sz w:val="24"/>
            <w:szCs w:val="24"/>
          </w:rPr>
        </w:pPr>
        <w:r w:rsidRPr="0016769C">
          <w:rPr>
            <w:rFonts w:asciiTheme="majorHAnsi" w:hAnsiTheme="majorHAnsi"/>
            <w:b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9C" w:rsidRDefault="00167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91F"/>
    <w:multiLevelType w:val="hybridMultilevel"/>
    <w:tmpl w:val="F03242CC"/>
    <w:lvl w:ilvl="0" w:tplc="A78C2AA2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52AE2"/>
    <w:multiLevelType w:val="hybridMultilevel"/>
    <w:tmpl w:val="138AD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A45273"/>
    <w:multiLevelType w:val="hybridMultilevel"/>
    <w:tmpl w:val="731E9F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nie Maddox">
    <w15:presenceInfo w15:providerId="AD" w15:userId="S-1-5-21-1060284298-1450960922-725345543-39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66"/>
    <w:rsid w:val="000314EE"/>
    <w:rsid w:val="00046906"/>
    <w:rsid w:val="000520A5"/>
    <w:rsid w:val="00066BC4"/>
    <w:rsid w:val="000B209A"/>
    <w:rsid w:val="000E32CC"/>
    <w:rsid w:val="001052E1"/>
    <w:rsid w:val="00106D94"/>
    <w:rsid w:val="0011068E"/>
    <w:rsid w:val="001624D6"/>
    <w:rsid w:val="00166059"/>
    <w:rsid w:val="0016769C"/>
    <w:rsid w:val="001730BC"/>
    <w:rsid w:val="00176F15"/>
    <w:rsid w:val="001A114A"/>
    <w:rsid w:val="001C70C2"/>
    <w:rsid w:val="001E48BD"/>
    <w:rsid w:val="00204E6E"/>
    <w:rsid w:val="002642D3"/>
    <w:rsid w:val="00286733"/>
    <w:rsid w:val="00297436"/>
    <w:rsid w:val="002B6DCC"/>
    <w:rsid w:val="002B6E53"/>
    <w:rsid w:val="002E0E80"/>
    <w:rsid w:val="002E26B7"/>
    <w:rsid w:val="002F570F"/>
    <w:rsid w:val="003114BE"/>
    <w:rsid w:val="00350078"/>
    <w:rsid w:val="00372A56"/>
    <w:rsid w:val="0038606D"/>
    <w:rsid w:val="00412117"/>
    <w:rsid w:val="00477F3C"/>
    <w:rsid w:val="004814BD"/>
    <w:rsid w:val="00495985"/>
    <w:rsid w:val="004C12BE"/>
    <w:rsid w:val="004C20F7"/>
    <w:rsid w:val="004C42F1"/>
    <w:rsid w:val="004F38BF"/>
    <w:rsid w:val="00511537"/>
    <w:rsid w:val="00511E04"/>
    <w:rsid w:val="005131F3"/>
    <w:rsid w:val="00527AA4"/>
    <w:rsid w:val="00540C0B"/>
    <w:rsid w:val="0057570B"/>
    <w:rsid w:val="00583368"/>
    <w:rsid w:val="0059498D"/>
    <w:rsid w:val="005C328A"/>
    <w:rsid w:val="005D46DA"/>
    <w:rsid w:val="005E7DDC"/>
    <w:rsid w:val="00600AB4"/>
    <w:rsid w:val="00620434"/>
    <w:rsid w:val="0062622D"/>
    <w:rsid w:val="00652418"/>
    <w:rsid w:val="00663B03"/>
    <w:rsid w:val="00682B89"/>
    <w:rsid w:val="006D016D"/>
    <w:rsid w:val="006E1719"/>
    <w:rsid w:val="00701C99"/>
    <w:rsid w:val="007177BF"/>
    <w:rsid w:val="00721D5E"/>
    <w:rsid w:val="00725193"/>
    <w:rsid w:val="00747F36"/>
    <w:rsid w:val="0077269A"/>
    <w:rsid w:val="007767F1"/>
    <w:rsid w:val="007929FC"/>
    <w:rsid w:val="007C4F4F"/>
    <w:rsid w:val="007D5714"/>
    <w:rsid w:val="00802904"/>
    <w:rsid w:val="008058FF"/>
    <w:rsid w:val="00816854"/>
    <w:rsid w:val="008332D6"/>
    <w:rsid w:val="008334E6"/>
    <w:rsid w:val="00867662"/>
    <w:rsid w:val="0087201C"/>
    <w:rsid w:val="008B77FE"/>
    <w:rsid w:val="008C0D30"/>
    <w:rsid w:val="008E7266"/>
    <w:rsid w:val="00960E48"/>
    <w:rsid w:val="00983E73"/>
    <w:rsid w:val="009A23DC"/>
    <w:rsid w:val="009A4D1B"/>
    <w:rsid w:val="009C1E0E"/>
    <w:rsid w:val="009D4AB1"/>
    <w:rsid w:val="009E2618"/>
    <w:rsid w:val="009E36D8"/>
    <w:rsid w:val="009E6CD7"/>
    <w:rsid w:val="009F1197"/>
    <w:rsid w:val="009F57A2"/>
    <w:rsid w:val="00A01CFF"/>
    <w:rsid w:val="00A03D59"/>
    <w:rsid w:val="00A36B24"/>
    <w:rsid w:val="00A3722A"/>
    <w:rsid w:val="00AB1F04"/>
    <w:rsid w:val="00AB2D5D"/>
    <w:rsid w:val="00AC5DA4"/>
    <w:rsid w:val="00AD7363"/>
    <w:rsid w:val="00AE30C7"/>
    <w:rsid w:val="00B07018"/>
    <w:rsid w:val="00B517E7"/>
    <w:rsid w:val="00BC49F6"/>
    <w:rsid w:val="00C46F2D"/>
    <w:rsid w:val="00C63CD7"/>
    <w:rsid w:val="00C66054"/>
    <w:rsid w:val="00C92D9E"/>
    <w:rsid w:val="00CE2DAE"/>
    <w:rsid w:val="00CE68C5"/>
    <w:rsid w:val="00CF3577"/>
    <w:rsid w:val="00CF51C4"/>
    <w:rsid w:val="00D00DDB"/>
    <w:rsid w:val="00D22E5A"/>
    <w:rsid w:val="00D31153"/>
    <w:rsid w:val="00D3274B"/>
    <w:rsid w:val="00D44338"/>
    <w:rsid w:val="00D735D4"/>
    <w:rsid w:val="00D757F2"/>
    <w:rsid w:val="00DB028C"/>
    <w:rsid w:val="00DC4D1A"/>
    <w:rsid w:val="00E05013"/>
    <w:rsid w:val="00E17443"/>
    <w:rsid w:val="00E52299"/>
    <w:rsid w:val="00E76C64"/>
    <w:rsid w:val="00E97F9A"/>
    <w:rsid w:val="00EA6BB5"/>
    <w:rsid w:val="00EF4E8C"/>
    <w:rsid w:val="00F61EF6"/>
    <w:rsid w:val="00F71D21"/>
    <w:rsid w:val="00FB29D2"/>
    <w:rsid w:val="00FB6A86"/>
    <w:rsid w:val="00FD0D3E"/>
    <w:rsid w:val="00FD2F9D"/>
    <w:rsid w:val="00FD2FD5"/>
    <w:rsid w:val="00FD4850"/>
    <w:rsid w:val="00FE1CF3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09A"/>
  </w:style>
  <w:style w:type="paragraph" w:styleId="Footer">
    <w:name w:val="footer"/>
    <w:basedOn w:val="Normal"/>
    <w:link w:val="FooterChar"/>
    <w:uiPriority w:val="99"/>
    <w:unhideWhenUsed/>
    <w:rsid w:val="000B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09A"/>
  </w:style>
  <w:style w:type="paragraph" w:styleId="BalloonText">
    <w:name w:val="Balloon Text"/>
    <w:basedOn w:val="Normal"/>
    <w:link w:val="BalloonTextChar"/>
    <w:uiPriority w:val="99"/>
    <w:semiHidden/>
    <w:unhideWhenUsed/>
    <w:rsid w:val="00E7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74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D2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09A"/>
  </w:style>
  <w:style w:type="paragraph" w:styleId="Footer">
    <w:name w:val="footer"/>
    <w:basedOn w:val="Normal"/>
    <w:link w:val="FooterChar"/>
    <w:uiPriority w:val="99"/>
    <w:unhideWhenUsed/>
    <w:rsid w:val="000B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09A"/>
  </w:style>
  <w:style w:type="paragraph" w:styleId="BalloonText">
    <w:name w:val="Balloon Text"/>
    <w:basedOn w:val="Normal"/>
    <w:link w:val="BalloonTextChar"/>
    <w:uiPriority w:val="99"/>
    <w:semiHidden/>
    <w:unhideWhenUsed/>
    <w:rsid w:val="00E7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74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D2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1176-1F44-43F5-9F88-2715602E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of Trustees</dc:creator>
  <cp:lastModifiedBy>Bonnie Maddox</cp:lastModifiedBy>
  <cp:revision>2</cp:revision>
  <cp:lastPrinted>2016-06-02T18:09:00Z</cp:lastPrinted>
  <dcterms:created xsi:type="dcterms:W3CDTF">2016-06-21T15:09:00Z</dcterms:created>
  <dcterms:modified xsi:type="dcterms:W3CDTF">2016-06-21T15:09:00Z</dcterms:modified>
</cp:coreProperties>
</file>