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252E" w14:textId="77777777" w:rsidR="006F0B39" w:rsidRPr="00460B9D" w:rsidRDefault="00460B9D" w:rsidP="00945C5D">
      <w:pPr>
        <w:jc w:val="center"/>
        <w:rPr>
          <w:rFonts w:asciiTheme="majorHAnsi" w:hAnsiTheme="majorHAnsi"/>
          <w:b/>
          <w:color w:val="8496B0" w:themeColor="text2" w:themeTint="99"/>
          <w:sz w:val="28"/>
          <w:szCs w:val="28"/>
        </w:rPr>
      </w:pPr>
      <w:bookmarkStart w:id="0" w:name="_GoBack"/>
      <w:bookmarkEnd w:id="0"/>
      <w:r w:rsidRPr="00460B9D">
        <w:rPr>
          <w:rFonts w:asciiTheme="majorHAnsi" w:hAnsiTheme="majorHAnsi"/>
          <w:b/>
          <w:color w:val="8496B0" w:themeColor="text2" w:themeTint="99"/>
          <w:sz w:val="28"/>
          <w:szCs w:val="28"/>
        </w:rPr>
        <w:t xml:space="preserve">CONCEPT PAPER FOR THE PROPOSED </w:t>
      </w:r>
    </w:p>
    <w:p w14:paraId="08553E64" w14:textId="77777777" w:rsidR="006F0B39" w:rsidRPr="007F1468" w:rsidRDefault="006F0B39" w:rsidP="006F0B39">
      <w:pPr>
        <w:pStyle w:val="Heading2"/>
        <w:jc w:val="both"/>
        <w:rPr>
          <w:b w:val="0"/>
        </w:rPr>
      </w:pPr>
      <w:r w:rsidRPr="007F1468">
        <w:rPr>
          <w:rStyle w:val="Heading2Char"/>
          <w:b/>
          <w:color w:val="8496B0" w:themeColor="text2" w:themeTint="99"/>
        </w:rPr>
        <w:t>I. Title/Department/</w:t>
      </w:r>
      <w:r w:rsidRPr="00A85594">
        <w:rPr>
          <w:color w:val="8496B0" w:themeColor="text2" w:themeTint="99"/>
        </w:rPr>
        <w:t>College</w:t>
      </w:r>
      <w:r w:rsidR="00945C5D" w:rsidRPr="00A85594">
        <w:rPr>
          <w:color w:val="8496B0" w:themeColor="text2" w:themeTint="99"/>
        </w:rPr>
        <w:t>/Proposer Contact Name &amp; Contact Information</w:t>
      </w:r>
      <w:r w:rsidR="00945C5D" w:rsidRPr="007F1468">
        <w:rPr>
          <w:b w:val="0"/>
          <w:color w:val="8496B0" w:themeColor="text2" w:themeTint="99"/>
        </w:rPr>
        <w:t xml:space="preserve"> </w:t>
      </w:r>
    </w:p>
    <w:p w14:paraId="49472C4A" w14:textId="77777777" w:rsidR="006F0B39" w:rsidRPr="00E60922" w:rsidRDefault="006F0B39" w:rsidP="004340AB">
      <w:pPr>
        <w:ind w:left="180"/>
        <w:rPr>
          <w:b/>
          <w:sz w:val="22"/>
          <w:szCs w:val="22"/>
        </w:rPr>
      </w:pPr>
      <w:r w:rsidRPr="00E60922">
        <w:rPr>
          <w:b/>
          <w:sz w:val="22"/>
          <w:szCs w:val="22"/>
        </w:rPr>
        <w:t xml:space="preserve">Associate of </w:t>
      </w:r>
      <w:r w:rsidR="00014DC7">
        <w:rPr>
          <w:b/>
          <w:sz w:val="22"/>
          <w:szCs w:val="22"/>
        </w:rPr>
        <w:t>Occupational Studies (AOS) in Culinary Arts</w:t>
      </w:r>
    </w:p>
    <w:p w14:paraId="4A7AE1EF" w14:textId="77777777" w:rsidR="006F0B39" w:rsidRDefault="006F0B39" w:rsidP="003620A9">
      <w:pPr>
        <w:ind w:left="180"/>
        <w:rPr>
          <w:sz w:val="22"/>
          <w:szCs w:val="22"/>
        </w:rPr>
      </w:pPr>
      <w:r>
        <w:rPr>
          <w:sz w:val="22"/>
          <w:szCs w:val="22"/>
        </w:rPr>
        <w:t>Business</w:t>
      </w:r>
      <w:r w:rsidRPr="00E60922">
        <w:rPr>
          <w:sz w:val="22"/>
          <w:szCs w:val="22"/>
        </w:rPr>
        <w:t xml:space="preserve"> Studies </w:t>
      </w:r>
      <w:r w:rsidR="00945C5D">
        <w:rPr>
          <w:sz w:val="22"/>
          <w:szCs w:val="22"/>
        </w:rPr>
        <w:t>D</w:t>
      </w:r>
      <w:r w:rsidRPr="00E60922">
        <w:rPr>
          <w:sz w:val="22"/>
          <w:szCs w:val="22"/>
        </w:rPr>
        <w:t>epartment, National Technical Institute for the Deaf (NTID)</w:t>
      </w:r>
    </w:p>
    <w:p w14:paraId="673A5980" w14:textId="77777777" w:rsidR="00945C5D" w:rsidRPr="00AF3275" w:rsidRDefault="00762751" w:rsidP="003620A9">
      <w:pPr>
        <w:ind w:left="180"/>
        <w:rPr>
          <w:sz w:val="22"/>
          <w:szCs w:val="22"/>
        </w:rPr>
      </w:pPr>
      <w:r>
        <w:rPr>
          <w:sz w:val="22"/>
          <w:szCs w:val="22"/>
        </w:rPr>
        <w:t>Professor Mary Lou Basile (</w:t>
      </w:r>
      <w:r w:rsidRPr="00762751">
        <w:rPr>
          <w:sz w:val="22"/>
          <w:szCs w:val="22"/>
        </w:rPr>
        <w:t>mlbnbt@rit.edu</w:t>
      </w:r>
      <w:r>
        <w:rPr>
          <w:sz w:val="22"/>
          <w:szCs w:val="22"/>
        </w:rPr>
        <w:t xml:space="preserve">) &amp; </w:t>
      </w:r>
      <w:r w:rsidR="00945C5D">
        <w:rPr>
          <w:sz w:val="22"/>
          <w:szCs w:val="22"/>
        </w:rPr>
        <w:t>Assoc</w:t>
      </w:r>
      <w:r>
        <w:rPr>
          <w:sz w:val="22"/>
          <w:szCs w:val="22"/>
        </w:rPr>
        <w:t>.</w:t>
      </w:r>
      <w:r w:rsidR="00945C5D">
        <w:rPr>
          <w:sz w:val="22"/>
          <w:szCs w:val="22"/>
        </w:rPr>
        <w:t xml:space="preserve"> Prof</w:t>
      </w:r>
      <w:r>
        <w:rPr>
          <w:sz w:val="22"/>
          <w:szCs w:val="22"/>
        </w:rPr>
        <w:t xml:space="preserve">essor </w:t>
      </w:r>
      <w:r w:rsidR="00945C5D">
        <w:rPr>
          <w:sz w:val="22"/>
          <w:szCs w:val="22"/>
        </w:rPr>
        <w:t>Mary Beth Parker (mbpnbt@rit.edu)</w:t>
      </w:r>
    </w:p>
    <w:p w14:paraId="44886EDF" w14:textId="77777777" w:rsidR="006F0B39" w:rsidRDefault="006F0B39" w:rsidP="006F0B39">
      <w:pPr>
        <w:pStyle w:val="Heading2"/>
        <w:rPr>
          <w:color w:val="8496B0" w:themeColor="text2" w:themeTint="99"/>
        </w:rPr>
      </w:pPr>
      <w:r w:rsidRPr="00511EEF">
        <w:rPr>
          <w:color w:val="8496B0" w:themeColor="text2" w:themeTint="99"/>
        </w:rPr>
        <w:t>II. Goals and Justification for the Proposed Program</w:t>
      </w:r>
      <w:r w:rsidR="00430765">
        <w:rPr>
          <w:color w:val="8496B0" w:themeColor="text2" w:themeTint="99"/>
        </w:rPr>
        <w:t xml:space="preserve"> </w:t>
      </w:r>
    </w:p>
    <w:p w14:paraId="41124604" w14:textId="526DCAAB" w:rsidR="00013F5B" w:rsidRPr="00A37440" w:rsidRDefault="00013F5B" w:rsidP="00064C87">
      <w:pPr>
        <w:pStyle w:val="NormalWeb"/>
        <w:rPr>
          <w:rStyle w:val="articlecontent"/>
          <w:rFonts w:asciiTheme="minorHAnsi" w:eastAsiaTheme="minorEastAsia" w:hAnsiTheme="minorHAnsi" w:cstheme="minorBidi"/>
          <w:lang w:eastAsia="ja-JP"/>
        </w:rPr>
      </w:pPr>
      <w:r w:rsidRPr="00A37440">
        <w:rPr>
          <w:rStyle w:val="articlecontent"/>
          <w:rFonts w:asciiTheme="minorHAnsi" w:eastAsiaTheme="minorEastAsia" w:hAnsiTheme="minorHAnsi" w:cstheme="minorBidi"/>
          <w:lang w:eastAsia="ja-JP"/>
        </w:rPr>
        <w:t xml:space="preserve">NTID’s Mission Statement still serves as the basis for all of its educational programs. </w:t>
      </w:r>
    </w:p>
    <w:p w14:paraId="7514DB98" w14:textId="77777777" w:rsidR="00013F5B" w:rsidRPr="00A37440" w:rsidRDefault="00013F5B" w:rsidP="00013F5B">
      <w:pPr>
        <w:pStyle w:val="NormalWeb"/>
        <w:ind w:left="720"/>
        <w:rPr>
          <w:rStyle w:val="articlecontent"/>
          <w:rFonts w:asciiTheme="minorHAnsi" w:eastAsiaTheme="minorEastAsia" w:hAnsiTheme="minorHAnsi" w:cstheme="minorBidi"/>
          <w:i/>
          <w:lang w:eastAsia="ja-JP"/>
        </w:rPr>
      </w:pPr>
      <w:r w:rsidRPr="00A37440">
        <w:rPr>
          <w:rStyle w:val="articlecontent"/>
          <w:rFonts w:asciiTheme="minorHAnsi" w:eastAsiaTheme="minorEastAsia" w:hAnsiTheme="minorHAnsi" w:cstheme="minorBidi"/>
          <w:i/>
          <w:lang w:eastAsia="ja-JP"/>
        </w:rPr>
        <w:t xml:space="preserve">The primary mission of the National Technical Institute for the Deaf is to provide deaf students with outstanding state-of-the-art technical and professional education programs, complemented by a strong arts and sciences curriculum that prepares them to live and work in the mainstream of a rapidly changing global community and enhance their lifelong learning. </w:t>
      </w:r>
    </w:p>
    <w:p w14:paraId="528D2806" w14:textId="00443A6A" w:rsidR="00A37440" w:rsidRPr="00A37440" w:rsidRDefault="00837592" w:rsidP="00064C87">
      <w:pPr>
        <w:pStyle w:val="NormalWeb"/>
        <w:rPr>
          <w:rStyle w:val="articlecontent"/>
          <w:rFonts w:asciiTheme="minorHAnsi" w:eastAsiaTheme="minorEastAsia" w:hAnsiTheme="minorHAnsi" w:cstheme="minorBidi"/>
          <w:lang w:eastAsia="ja-JP"/>
        </w:rPr>
      </w:pPr>
      <w:r w:rsidRPr="00A37440">
        <w:rPr>
          <w:rStyle w:val="articlecontent"/>
          <w:rFonts w:asciiTheme="minorHAnsi" w:eastAsiaTheme="minorEastAsia" w:hAnsiTheme="minorHAnsi" w:cstheme="minorBidi"/>
          <w:lang w:eastAsia="ja-JP"/>
        </w:rPr>
        <w:t xml:space="preserve">In supporting this mission statement, </w:t>
      </w:r>
      <w:r w:rsidR="00CF031A" w:rsidRPr="00A37440">
        <w:rPr>
          <w:rStyle w:val="articlecontent"/>
          <w:rFonts w:asciiTheme="minorHAnsi" w:eastAsiaTheme="minorEastAsia" w:hAnsiTheme="minorHAnsi" w:cstheme="minorBidi"/>
          <w:lang w:eastAsia="ja-JP"/>
        </w:rPr>
        <w:t>NTID’s Strategic Decisions 2020</w:t>
      </w:r>
      <w:r w:rsidR="00BA5329" w:rsidRPr="00A37440">
        <w:rPr>
          <w:rStyle w:val="articlecontent"/>
          <w:rFonts w:asciiTheme="minorHAnsi" w:eastAsiaTheme="minorEastAsia" w:hAnsiTheme="minorHAnsi" w:cstheme="minorBidi"/>
          <w:lang w:eastAsia="ja-JP"/>
        </w:rPr>
        <w:t xml:space="preserve"> states that</w:t>
      </w:r>
      <w:r w:rsidR="00CF031A" w:rsidRPr="00A37440">
        <w:rPr>
          <w:rStyle w:val="articlecontent"/>
          <w:rFonts w:asciiTheme="minorHAnsi" w:eastAsiaTheme="minorEastAsia" w:hAnsiTheme="minorHAnsi" w:cstheme="minorBidi"/>
          <w:lang w:eastAsia="ja-JP"/>
        </w:rPr>
        <w:t xml:space="preserve"> </w:t>
      </w:r>
      <w:r w:rsidR="00BA5329" w:rsidRPr="00A37440">
        <w:rPr>
          <w:rStyle w:val="articlecontent"/>
          <w:rFonts w:asciiTheme="minorHAnsi" w:eastAsiaTheme="minorEastAsia" w:hAnsiTheme="minorHAnsi" w:cstheme="minorBidi"/>
          <w:lang w:eastAsia="ja-JP"/>
        </w:rPr>
        <w:t>“</w:t>
      </w:r>
      <w:r w:rsidR="00CF031A" w:rsidRPr="00A37440">
        <w:rPr>
          <w:rStyle w:val="articlecontent"/>
          <w:rFonts w:asciiTheme="minorHAnsi" w:eastAsiaTheme="minorEastAsia" w:hAnsiTheme="minorHAnsi" w:cstheme="minorBidi"/>
          <w:lang w:eastAsia="ja-JP"/>
        </w:rPr>
        <w:t>NTID needs to update their career-focused associate degree programs</w:t>
      </w:r>
      <w:r w:rsidR="00BA5329" w:rsidRPr="00A37440">
        <w:rPr>
          <w:rStyle w:val="articlecontent"/>
          <w:rFonts w:asciiTheme="minorHAnsi" w:eastAsiaTheme="minorEastAsia" w:hAnsiTheme="minorHAnsi" w:cstheme="minorBidi"/>
          <w:lang w:eastAsia="ja-JP"/>
        </w:rPr>
        <w:t xml:space="preserve"> </w:t>
      </w:r>
      <w:r w:rsidR="00CF031A" w:rsidRPr="00A37440">
        <w:rPr>
          <w:rStyle w:val="articlecontent"/>
          <w:rFonts w:asciiTheme="minorHAnsi" w:eastAsiaTheme="minorEastAsia" w:hAnsiTheme="minorHAnsi" w:cstheme="minorBidi"/>
          <w:lang w:eastAsia="ja-JP"/>
        </w:rPr>
        <w:t xml:space="preserve">to meet the demands of </w:t>
      </w:r>
      <w:r w:rsidR="00BA5329" w:rsidRPr="00A37440">
        <w:rPr>
          <w:rStyle w:val="articlecontent"/>
          <w:rFonts w:asciiTheme="minorHAnsi" w:eastAsiaTheme="minorEastAsia" w:hAnsiTheme="minorHAnsi" w:cstheme="minorBidi"/>
          <w:lang w:eastAsia="ja-JP"/>
        </w:rPr>
        <w:t xml:space="preserve">future </w:t>
      </w:r>
      <w:r w:rsidR="00CF031A" w:rsidRPr="00A37440">
        <w:rPr>
          <w:rStyle w:val="articlecontent"/>
          <w:rFonts w:asciiTheme="minorHAnsi" w:eastAsiaTheme="minorEastAsia" w:hAnsiTheme="minorHAnsi" w:cstheme="minorBidi"/>
          <w:lang w:eastAsia="ja-JP"/>
        </w:rPr>
        <w:t>job markets.</w:t>
      </w:r>
      <w:r w:rsidR="00064C87" w:rsidRPr="00A37440">
        <w:rPr>
          <w:rStyle w:val="articlecontent"/>
          <w:rFonts w:asciiTheme="minorHAnsi" w:eastAsiaTheme="minorEastAsia" w:hAnsiTheme="minorHAnsi" w:cstheme="minorBidi"/>
          <w:lang w:eastAsia="ja-JP"/>
        </w:rPr>
        <w:t>”</w:t>
      </w:r>
      <w:r w:rsidR="000C4DA0" w:rsidRPr="00A37440">
        <w:rPr>
          <w:rStyle w:val="articlecontent"/>
          <w:rFonts w:asciiTheme="minorHAnsi" w:eastAsiaTheme="minorEastAsia" w:hAnsiTheme="minorHAnsi" w:cstheme="minorBidi"/>
          <w:lang w:eastAsia="ja-JP"/>
        </w:rPr>
        <w:t xml:space="preserve"> </w:t>
      </w:r>
      <w:r w:rsidR="00013F5B" w:rsidRPr="00A37440">
        <w:rPr>
          <w:rStyle w:val="articlecontent"/>
          <w:rFonts w:asciiTheme="minorHAnsi" w:eastAsiaTheme="minorEastAsia" w:hAnsiTheme="minorHAnsi" w:cstheme="minorBidi"/>
          <w:lang w:eastAsia="ja-JP"/>
        </w:rPr>
        <w:t>“</w:t>
      </w:r>
      <w:r w:rsidR="00BA5329" w:rsidRPr="00A37440">
        <w:rPr>
          <w:rStyle w:val="articlecontent"/>
          <w:rFonts w:asciiTheme="minorHAnsi" w:eastAsiaTheme="minorEastAsia" w:hAnsiTheme="minorHAnsi" w:cstheme="minorBidi"/>
          <w:lang w:eastAsia="ja-JP"/>
        </w:rPr>
        <w:t>Although restaurant goers may be unaware</w:t>
      </w:r>
      <w:r w:rsidR="00725AB7" w:rsidRPr="00A37440">
        <w:rPr>
          <w:rStyle w:val="articlecontent"/>
          <w:rFonts w:asciiTheme="minorHAnsi" w:eastAsiaTheme="minorEastAsia" w:hAnsiTheme="minorHAnsi" w:cstheme="minorBidi"/>
          <w:lang w:eastAsia="ja-JP"/>
        </w:rPr>
        <w:t xml:space="preserve"> of it</w:t>
      </w:r>
      <w:r w:rsidR="00BA5329" w:rsidRPr="00A37440">
        <w:rPr>
          <w:rStyle w:val="articlecontent"/>
          <w:rFonts w:asciiTheme="minorHAnsi" w:eastAsiaTheme="minorEastAsia" w:hAnsiTheme="minorHAnsi" w:cstheme="minorBidi"/>
          <w:lang w:eastAsia="ja-JP"/>
        </w:rPr>
        <w:t>, the restaurant industry</w:t>
      </w:r>
      <w:r w:rsidR="00725AB7" w:rsidRPr="00A37440">
        <w:rPr>
          <w:rStyle w:val="articlecontent"/>
          <w:rFonts w:asciiTheme="minorHAnsi" w:eastAsiaTheme="minorEastAsia" w:hAnsiTheme="minorHAnsi" w:cstheme="minorBidi"/>
          <w:lang w:eastAsia="ja-JP"/>
        </w:rPr>
        <w:t xml:space="preserve"> in America</w:t>
      </w:r>
      <w:r w:rsidR="00BA5329" w:rsidRPr="00A37440">
        <w:rPr>
          <w:rStyle w:val="articlecontent"/>
          <w:rFonts w:asciiTheme="minorHAnsi" w:eastAsiaTheme="minorEastAsia" w:hAnsiTheme="minorHAnsi" w:cstheme="minorBidi"/>
          <w:lang w:eastAsia="ja-JP"/>
        </w:rPr>
        <w:t xml:space="preserve"> is facing</w:t>
      </w:r>
      <w:r w:rsidR="00725AB7" w:rsidRPr="00A37440">
        <w:rPr>
          <w:rStyle w:val="articlecontent"/>
          <w:rFonts w:asciiTheme="minorHAnsi" w:eastAsiaTheme="minorEastAsia" w:hAnsiTheme="minorHAnsi" w:cstheme="minorBidi"/>
          <w:lang w:eastAsia="ja-JP"/>
        </w:rPr>
        <w:t xml:space="preserve"> an ongoing problem: </w:t>
      </w:r>
      <w:r w:rsidR="00013F5B" w:rsidRPr="00A37440">
        <w:rPr>
          <w:rStyle w:val="articlecontent"/>
          <w:rFonts w:asciiTheme="minorHAnsi" w:eastAsiaTheme="minorEastAsia" w:hAnsiTheme="minorHAnsi" w:cstheme="minorBidi"/>
          <w:lang w:eastAsia="ja-JP"/>
        </w:rPr>
        <w:t>. . . there is</w:t>
      </w:r>
      <w:r w:rsidR="00BA5329" w:rsidRPr="00A37440">
        <w:rPr>
          <w:rStyle w:val="articlecontent"/>
          <w:rFonts w:asciiTheme="minorHAnsi" w:eastAsiaTheme="minorEastAsia" w:hAnsiTheme="minorHAnsi" w:cstheme="minorBidi"/>
          <w:lang w:eastAsia="ja-JP"/>
        </w:rPr>
        <w:t xml:space="preserve"> a shortage of skilled </w:t>
      </w:r>
      <w:r w:rsidR="00013F5B" w:rsidRPr="00A37440">
        <w:rPr>
          <w:rStyle w:val="articlecontent"/>
          <w:rFonts w:asciiTheme="minorHAnsi" w:eastAsiaTheme="minorEastAsia" w:hAnsiTheme="minorHAnsi" w:cstheme="minorBidi"/>
          <w:lang w:eastAsia="ja-JP"/>
        </w:rPr>
        <w:t>employees.”</w:t>
      </w:r>
      <w:r w:rsidR="00013F5B">
        <w:rPr>
          <w:rStyle w:val="articlecontent"/>
          <w:rFonts w:asciiTheme="minorHAnsi" w:eastAsiaTheme="minorEastAsia" w:hAnsiTheme="minorHAnsi" w:cstheme="minorBidi"/>
          <w:lang w:eastAsia="ja-JP"/>
        </w:rPr>
        <w:t xml:space="preserve">  </w:t>
      </w:r>
      <w:r w:rsidR="001431BF">
        <w:rPr>
          <w:rStyle w:val="articlecontent"/>
          <w:rFonts w:asciiTheme="minorHAnsi" w:eastAsiaTheme="minorEastAsia" w:hAnsiTheme="minorHAnsi" w:cstheme="minorBidi"/>
          <w:lang w:eastAsia="ja-JP"/>
        </w:rPr>
        <w:t>(</w:t>
      </w:r>
      <w:hyperlink r:id="rId8" w:history="1">
        <w:r w:rsidR="001431BF" w:rsidRPr="00116DB0">
          <w:rPr>
            <w:rStyle w:val="Hyperlink"/>
            <w:rFonts w:asciiTheme="minorHAnsi" w:eastAsiaTheme="minorEastAsia" w:hAnsiTheme="minorHAnsi" w:cstheme="minorBidi"/>
            <w:lang w:eastAsia="ja-JP"/>
          </w:rPr>
          <w:t>www.career.org/news/shortage-of-skills-the-culinary-sector</w:t>
        </w:r>
      </w:hyperlink>
      <w:r w:rsidR="001431BF">
        <w:rPr>
          <w:rStyle w:val="articlecontent"/>
          <w:rFonts w:asciiTheme="minorHAnsi" w:eastAsiaTheme="minorEastAsia" w:hAnsiTheme="minorHAnsi" w:cstheme="minorBidi"/>
          <w:lang w:eastAsia="ja-JP"/>
        </w:rPr>
        <w:t>)</w:t>
      </w:r>
    </w:p>
    <w:p w14:paraId="7E9B6037" w14:textId="335C1172" w:rsidR="00FF3743" w:rsidRPr="00A37440" w:rsidRDefault="00FF3743" w:rsidP="00FF3743">
      <w:pPr>
        <w:spacing w:before="100" w:beforeAutospacing="1" w:after="100" w:afterAutospacing="1"/>
        <w:ind w:left="720"/>
        <w:rPr>
          <w:rStyle w:val="articlecontent"/>
          <w:i/>
        </w:rPr>
      </w:pPr>
      <w:r w:rsidRPr="00A37440">
        <w:rPr>
          <w:rStyle w:val="articlecontent"/>
          <w:i/>
        </w:rPr>
        <w:t>Our extremely mobile society continues to rely on pre-packaged foods, prepared foods, fast foods, diners, food bars, and resta</w:t>
      </w:r>
      <w:r w:rsidR="004E67A3" w:rsidRPr="00A37440">
        <w:rPr>
          <w:rStyle w:val="articlecontent"/>
          <w:i/>
        </w:rPr>
        <w:t xml:space="preserve">urants routinely, and it is not </w:t>
      </w:r>
      <w:r w:rsidRPr="00A37440">
        <w:rPr>
          <w:rStyle w:val="articlecontent"/>
          <w:i/>
        </w:rPr>
        <w:t>expected to change its habits any time soon. Jobs within the food industry are enormous. The culinary arts job outlook for services in pre-packaging foods, food research, and development, for cafeterias, hospitals, and care centers is energetic</w:t>
      </w:r>
      <w:r w:rsidR="00E22CC2" w:rsidRPr="00A37440">
        <w:rPr>
          <w:rStyle w:val="articlecontent"/>
          <w:i/>
        </w:rPr>
        <w:t xml:space="preserve"> through managed service companies</w:t>
      </w:r>
      <w:r w:rsidRPr="00A37440">
        <w:rPr>
          <w:rStyle w:val="articlecontent"/>
          <w:i/>
        </w:rPr>
        <w:t>.</w:t>
      </w:r>
    </w:p>
    <w:p w14:paraId="29C72A66" w14:textId="77777777" w:rsidR="00FF3743" w:rsidRPr="00A37440" w:rsidRDefault="00FF3743" w:rsidP="00FF3743">
      <w:pPr>
        <w:spacing w:before="100" w:beforeAutospacing="1" w:after="100" w:afterAutospacing="1"/>
        <w:ind w:left="720"/>
        <w:rPr>
          <w:rStyle w:val="articlecontent"/>
          <w:i/>
        </w:rPr>
      </w:pPr>
      <w:r w:rsidRPr="00A37440">
        <w:rPr>
          <w:rStyle w:val="articlecontent"/>
          <w:i/>
        </w:rPr>
        <w:t xml:space="preserve">Catering services have also taken a boost as more companies hire catering services as a convenience for their employees, and more office buildings incorporate food bars and coffee shops into their floor plans. Health resorts, sports facilities, and whole grain bakeries also hire the special skills of a culinary arts graduate. </w:t>
      </w:r>
      <w:r w:rsidRPr="00A37440">
        <w:rPr>
          <w:rStyle w:val="articlecontent"/>
        </w:rPr>
        <w:t>(</w:t>
      </w:r>
      <w:hyperlink r:id="rId9" w:history="1">
        <w:r w:rsidRPr="00A37440">
          <w:rPr>
            <w:rStyle w:val="Hyperlink"/>
          </w:rPr>
          <w:t>http://educationcareerarticles.com/career-information/job-market-outlook/overview-c</w:t>
        </w:r>
        <w:r w:rsidR="006B27D1" w:rsidRPr="00A37440">
          <w:rPr>
            <w:rStyle w:val="Hyperlink"/>
          </w:rPr>
          <w:t>ulinary-arts-job-market-outlook</w:t>
        </w:r>
      </w:hyperlink>
      <w:r w:rsidRPr="00A37440">
        <w:rPr>
          <w:rStyle w:val="articlecontent"/>
        </w:rPr>
        <w:t>)</w:t>
      </w:r>
    </w:p>
    <w:p w14:paraId="58B24DD1" w14:textId="77777777" w:rsidR="00F4126B" w:rsidRDefault="00014DC7" w:rsidP="00FF3743">
      <w:pPr>
        <w:spacing w:after="100" w:afterAutospacing="1"/>
        <w:ind w:left="180"/>
        <w:rPr>
          <w:rStyle w:val="articlecontent"/>
        </w:rPr>
      </w:pPr>
      <w:r>
        <w:rPr>
          <w:rStyle w:val="articlecontent"/>
        </w:rPr>
        <w:t>For individuals seeking a life in the art of food, culinary programs provide information about the chemistry, preparation, skills, and knowledge to become a professional contender in the career of cooking. According to industry professionals, if you want to become a professional chef, it is critical to acquire an education in Culinary Arts</w:t>
      </w:r>
      <w:r w:rsidR="006D6BDC" w:rsidRPr="004829B3">
        <w:rPr>
          <w:rFonts w:ascii="Times New Roman" w:eastAsia="Times New Roman" w:hAnsi="Times New Roman" w:cs="Times New Roman"/>
        </w:rPr>
        <w:t xml:space="preserve"> </w:t>
      </w:r>
      <w:r w:rsidR="006D6BDC">
        <w:rPr>
          <w:rStyle w:val="articlecontent"/>
        </w:rPr>
        <w:t>which w</w:t>
      </w:r>
      <w:r w:rsidR="006D6BDC" w:rsidRPr="006D6BDC">
        <w:rPr>
          <w:rStyle w:val="articlecontent"/>
        </w:rPr>
        <w:t>ould give you an edge over the competition when it comes to getting hired at the top restaurants.</w:t>
      </w:r>
      <w:r>
        <w:rPr>
          <w:rStyle w:val="articlecontent"/>
        </w:rPr>
        <w:t xml:space="preserve"> </w:t>
      </w:r>
      <w:r w:rsidRPr="00014DC7">
        <w:rPr>
          <w:rStyle w:val="articlecontent"/>
        </w:rPr>
        <w:t xml:space="preserve">Since culinary </w:t>
      </w:r>
      <w:r w:rsidR="00F4126B">
        <w:rPr>
          <w:rStyle w:val="articlecontent"/>
        </w:rPr>
        <w:t>professionals</w:t>
      </w:r>
      <w:r w:rsidRPr="00014DC7">
        <w:rPr>
          <w:rStyle w:val="articlecontent"/>
        </w:rPr>
        <w:t xml:space="preserve"> are constantly exploring and evolving the industry, students will find a wealth of career choices for trained chefs upon graduation.</w:t>
      </w:r>
      <w:r>
        <w:rPr>
          <w:rStyle w:val="articlecontent"/>
        </w:rPr>
        <w:t xml:space="preserve"> </w:t>
      </w:r>
      <w:r w:rsidR="002E71EA">
        <w:rPr>
          <w:rStyle w:val="articlecontent"/>
        </w:rPr>
        <w:t xml:space="preserve">Establishing an AOS in Culinary Arts at RIT/NTID will allow our program to teach students the “farm-to-table” </w:t>
      </w:r>
      <w:r w:rsidR="006D6BDC">
        <w:rPr>
          <w:rStyle w:val="articlecontent"/>
        </w:rPr>
        <w:t>concept</w:t>
      </w:r>
      <w:r w:rsidR="00FF3743">
        <w:rPr>
          <w:rStyle w:val="articlecontent"/>
        </w:rPr>
        <w:t>,</w:t>
      </w:r>
      <w:r w:rsidR="002E71EA">
        <w:rPr>
          <w:rStyle w:val="articlecontent"/>
        </w:rPr>
        <w:t xml:space="preserve"> since we reside in Finger Lakes’ region</w:t>
      </w:r>
      <w:r w:rsidR="00FF3743">
        <w:rPr>
          <w:rStyle w:val="articlecontent"/>
        </w:rPr>
        <w:t>,</w:t>
      </w:r>
      <w:r w:rsidR="006D6BDC">
        <w:rPr>
          <w:rStyle w:val="articlecontent"/>
        </w:rPr>
        <w:t xml:space="preserve"> which also</w:t>
      </w:r>
      <w:r w:rsidR="00A70999">
        <w:rPr>
          <w:rStyle w:val="articlecontent"/>
        </w:rPr>
        <w:t xml:space="preserve"> is</w:t>
      </w:r>
      <w:r w:rsidR="002E71EA">
        <w:rPr>
          <w:rStyle w:val="articlecontent"/>
        </w:rPr>
        <w:t xml:space="preserve"> driving menus in some of the finest restaurants worldwide. </w:t>
      </w:r>
    </w:p>
    <w:p w14:paraId="4B601EB2" w14:textId="77777777" w:rsidR="00C063D5" w:rsidRPr="00A70999" w:rsidRDefault="003B3692" w:rsidP="00A70999">
      <w:pPr>
        <w:pStyle w:val="NormalWeb"/>
        <w:ind w:left="180"/>
        <w:rPr>
          <w:rStyle w:val="articlecontent"/>
        </w:rPr>
      </w:pPr>
      <w:r w:rsidRPr="003B3692">
        <w:rPr>
          <w:rStyle w:val="articlecontent"/>
          <w:rFonts w:asciiTheme="minorHAnsi" w:eastAsiaTheme="minorEastAsia" w:hAnsiTheme="minorHAnsi" w:cstheme="minorBidi"/>
          <w:lang w:eastAsia="ja-JP"/>
        </w:rPr>
        <w:lastRenderedPageBreak/>
        <w:t>Overall job opportunities are expected to be very good as a result of employment growth and the need to replace workers who leave the occupation.</w:t>
      </w:r>
      <w:r>
        <w:t xml:space="preserve"> </w:t>
      </w:r>
      <w:r w:rsidR="00C063D5" w:rsidRPr="00A70999">
        <w:rPr>
          <w:rStyle w:val="articlecontent"/>
          <w:rFonts w:asciiTheme="minorHAnsi" w:eastAsiaTheme="minorEastAsia" w:hAnsiTheme="minorHAnsi" w:cstheme="minorBidi"/>
          <w:lang w:eastAsia="ja-JP"/>
        </w:rPr>
        <w:t>According to the National Restaurant Association, the restaurant industry employs 14 million people in both front-of-the-house and kitchen positions, and is one of the largest private-sector employers. While almost 60 percent of all chefs, cooks and food preparation workers are employed in restaurants and other retail eating and drinking places, about 20 percent work in institutions such as schools, universities, hospitals and nursing homes. Grocery stores, hotels, and other organizations make up the difference. The outlook for career opportunities is promising, as the restaurant industry is projected to add 1.3 million positions in the next decade.</w:t>
      </w:r>
      <w:r w:rsidR="00023022">
        <w:rPr>
          <w:rStyle w:val="articlecontent"/>
          <w:rFonts w:asciiTheme="minorHAnsi" w:eastAsiaTheme="minorEastAsia" w:hAnsiTheme="minorHAnsi" w:cstheme="minorBidi"/>
          <w:lang w:eastAsia="ja-JP"/>
        </w:rPr>
        <w:t>(</w:t>
      </w:r>
      <w:hyperlink r:id="rId10" w:history="1">
        <w:r w:rsidR="00A70999" w:rsidRPr="006B27D1">
          <w:rPr>
            <w:rStyle w:val="Hyperlink"/>
            <w:rFonts w:asciiTheme="minorHAnsi" w:eastAsiaTheme="minorEastAsia" w:hAnsiTheme="minorHAnsi" w:cstheme="minorBidi"/>
            <w:lang w:eastAsia="ja-JP"/>
          </w:rPr>
          <w:t>http://www.restaurant.org/News-Research/Research/Facts-at-a-Glance</w:t>
        </w:r>
      </w:hyperlink>
      <w:r w:rsidR="00023022">
        <w:rPr>
          <w:rStyle w:val="articlecontent"/>
          <w:rFonts w:asciiTheme="minorHAnsi" w:eastAsiaTheme="minorEastAsia" w:hAnsiTheme="minorHAnsi" w:cstheme="minorBidi"/>
          <w:lang w:eastAsia="ja-JP"/>
        </w:rPr>
        <w:t>).</w:t>
      </w:r>
    </w:p>
    <w:p w14:paraId="41866F5A" w14:textId="77777777" w:rsidR="00FF3743" w:rsidRDefault="003B3692" w:rsidP="00FF3743">
      <w:pPr>
        <w:pStyle w:val="NormalWeb"/>
        <w:ind w:left="180"/>
        <w:rPr>
          <w:rStyle w:val="articlecontent"/>
          <w:rFonts w:asciiTheme="minorHAnsi" w:eastAsiaTheme="minorEastAsia" w:hAnsiTheme="minorHAnsi" w:cstheme="minorBidi"/>
          <w:lang w:eastAsia="ja-JP"/>
        </w:rPr>
      </w:pPr>
      <w:r>
        <w:rPr>
          <w:rStyle w:val="articlecontent"/>
          <w:rFonts w:asciiTheme="minorHAnsi" w:eastAsiaTheme="minorEastAsia" w:hAnsiTheme="minorHAnsi" w:cstheme="minorBidi"/>
          <w:lang w:eastAsia="ja-JP"/>
        </w:rPr>
        <w:t xml:space="preserve">The proposed </w:t>
      </w:r>
      <w:r w:rsidRPr="00A70999">
        <w:rPr>
          <w:rStyle w:val="articlecontent"/>
          <w:rFonts w:asciiTheme="minorHAnsi" w:eastAsiaTheme="minorEastAsia" w:hAnsiTheme="minorHAnsi" w:cstheme="minorBidi"/>
          <w:lang w:eastAsia="ja-JP"/>
        </w:rPr>
        <w:t xml:space="preserve">Culinary Arts program provides students with hands-on as well as the theoretical aspects of food service. Graduates enter the job market with entry-level skills and a background which enhances their chances for </w:t>
      </w:r>
      <w:r w:rsidR="006B27D1">
        <w:rPr>
          <w:rStyle w:val="articlecontent"/>
          <w:rFonts w:asciiTheme="minorHAnsi" w:eastAsiaTheme="minorEastAsia" w:hAnsiTheme="minorHAnsi" w:cstheme="minorBidi"/>
          <w:lang w:eastAsia="ja-JP"/>
        </w:rPr>
        <w:t>numerous opportunities in the broad field of culinary arts</w:t>
      </w:r>
      <w:r w:rsidRPr="00A70999">
        <w:rPr>
          <w:rStyle w:val="articlecontent"/>
          <w:rFonts w:asciiTheme="minorHAnsi" w:eastAsiaTheme="minorEastAsia" w:hAnsiTheme="minorHAnsi" w:cstheme="minorBidi"/>
          <w:lang w:eastAsia="ja-JP"/>
        </w:rPr>
        <w:t>. Students are taught in modern labs and gain experience working in numerous venues</w:t>
      </w:r>
      <w:r>
        <w:rPr>
          <w:rStyle w:val="articlecontent"/>
          <w:rFonts w:asciiTheme="minorHAnsi" w:eastAsiaTheme="minorEastAsia" w:hAnsiTheme="minorHAnsi" w:cstheme="minorBidi"/>
          <w:lang w:eastAsia="ja-JP"/>
        </w:rPr>
        <w:t xml:space="preserve"> such as</w:t>
      </w:r>
      <w:r w:rsidRPr="00A70999">
        <w:rPr>
          <w:rStyle w:val="articlecontent"/>
          <w:rFonts w:asciiTheme="minorHAnsi" w:eastAsiaTheme="minorEastAsia" w:hAnsiTheme="minorHAnsi" w:cstheme="minorBidi"/>
          <w:lang w:eastAsia="ja-JP"/>
        </w:rPr>
        <w:t xml:space="preserve"> the college’s student-run dining room, at college-sponsored events</w:t>
      </w:r>
      <w:r>
        <w:rPr>
          <w:rStyle w:val="articlecontent"/>
          <w:rFonts w:asciiTheme="minorHAnsi" w:eastAsiaTheme="minorEastAsia" w:hAnsiTheme="minorHAnsi" w:cstheme="minorBidi"/>
          <w:lang w:eastAsia="ja-JP"/>
        </w:rPr>
        <w:t>,</w:t>
      </w:r>
      <w:r w:rsidRPr="00A70999">
        <w:rPr>
          <w:rStyle w:val="articlecontent"/>
          <w:rFonts w:asciiTheme="minorHAnsi" w:eastAsiaTheme="minorEastAsia" w:hAnsiTheme="minorHAnsi" w:cstheme="minorBidi"/>
          <w:lang w:eastAsia="ja-JP"/>
        </w:rPr>
        <w:t xml:space="preserve"> and through co-op jobs in local restaurants, hotels, country clubs and casinos</w:t>
      </w:r>
      <w:r>
        <w:t xml:space="preserve">. </w:t>
      </w:r>
      <w:r w:rsidR="006D6BDC" w:rsidRPr="006D6BDC">
        <w:rPr>
          <w:rStyle w:val="articlecontent"/>
          <w:rFonts w:asciiTheme="minorHAnsi" w:eastAsiaTheme="minorEastAsia" w:hAnsiTheme="minorHAnsi" w:cstheme="minorBidi"/>
          <w:lang w:eastAsia="ja-JP"/>
        </w:rPr>
        <w:t>The Bureau of Labor Statistics indicates that</w:t>
      </w:r>
      <w:r w:rsidR="006D6BDC">
        <w:t xml:space="preserve"> </w:t>
      </w:r>
      <w:r w:rsidR="006D6BDC">
        <w:rPr>
          <w:rStyle w:val="articlecontent"/>
          <w:rFonts w:asciiTheme="minorHAnsi" w:eastAsiaTheme="minorEastAsia" w:hAnsiTheme="minorHAnsi" w:cstheme="minorBidi"/>
          <w:lang w:eastAsia="ja-JP"/>
        </w:rPr>
        <w:t>e</w:t>
      </w:r>
      <w:r w:rsidRPr="003B3692">
        <w:rPr>
          <w:rStyle w:val="articlecontent"/>
          <w:rFonts w:asciiTheme="minorHAnsi" w:eastAsiaTheme="minorEastAsia" w:hAnsiTheme="minorHAnsi" w:cstheme="minorBidi"/>
          <w:lang w:eastAsia="ja-JP"/>
        </w:rPr>
        <w:t xml:space="preserve">mployment </w:t>
      </w:r>
      <w:r w:rsidR="00023022">
        <w:rPr>
          <w:rStyle w:val="articlecontent"/>
          <w:rFonts w:asciiTheme="minorHAnsi" w:eastAsiaTheme="minorEastAsia" w:hAnsiTheme="minorHAnsi" w:cstheme="minorBidi"/>
          <w:lang w:eastAsia="ja-JP"/>
        </w:rPr>
        <w:t>for</w:t>
      </w:r>
      <w:r w:rsidR="0051660D">
        <w:rPr>
          <w:rStyle w:val="articlecontent"/>
          <w:rFonts w:asciiTheme="minorHAnsi" w:eastAsiaTheme="minorEastAsia" w:hAnsiTheme="minorHAnsi" w:cstheme="minorBidi"/>
          <w:lang w:eastAsia="ja-JP"/>
        </w:rPr>
        <w:t xml:space="preserve"> </w:t>
      </w:r>
      <w:r w:rsidR="0051660D" w:rsidRPr="0051660D">
        <w:rPr>
          <w:rStyle w:val="articlecontent"/>
          <w:rFonts w:asciiTheme="minorHAnsi" w:eastAsiaTheme="minorEastAsia" w:hAnsiTheme="minorHAnsi" w:cstheme="minorBidi"/>
          <w:lang w:eastAsia="ja-JP"/>
        </w:rPr>
        <w:t>chefs and head cooks</w:t>
      </w:r>
      <w:r w:rsidR="006B27D1">
        <w:rPr>
          <w:rStyle w:val="articlecontent"/>
          <w:rFonts w:asciiTheme="minorHAnsi" w:eastAsiaTheme="minorEastAsia" w:hAnsiTheme="minorHAnsi" w:cstheme="minorBidi"/>
          <w:lang w:eastAsia="ja-JP"/>
        </w:rPr>
        <w:t xml:space="preserve"> is projected to grow </w:t>
      </w:r>
      <w:r w:rsidR="006B27D1" w:rsidRPr="006B27D1">
        <w:rPr>
          <w:rStyle w:val="articlecontent"/>
          <w:rFonts w:asciiTheme="minorHAnsi" w:eastAsiaTheme="minorEastAsia" w:hAnsiTheme="minorHAnsi" w:cstheme="minorBidi"/>
          <w:lang w:eastAsia="ja-JP"/>
        </w:rPr>
        <w:t>9 </w:t>
      </w:r>
      <w:r w:rsidR="0051660D" w:rsidRPr="006B27D1">
        <w:rPr>
          <w:rStyle w:val="articlecontent"/>
          <w:rFonts w:asciiTheme="minorHAnsi" w:eastAsiaTheme="minorEastAsia" w:hAnsiTheme="minorHAnsi" w:cstheme="minorBidi"/>
          <w:lang w:eastAsia="ja-JP"/>
        </w:rPr>
        <w:t>percent</w:t>
      </w:r>
      <w:r w:rsidR="0051660D">
        <w:rPr>
          <w:rStyle w:val="articlecontent"/>
          <w:rFonts w:asciiTheme="minorHAnsi" w:eastAsiaTheme="minorEastAsia" w:hAnsiTheme="minorHAnsi" w:cstheme="minorBidi"/>
          <w:lang w:eastAsia="ja-JP"/>
        </w:rPr>
        <w:t>--</w:t>
      </w:r>
      <w:r w:rsidR="0051660D" w:rsidRPr="0051660D">
        <w:rPr>
          <w:rStyle w:val="articlecontent"/>
          <w:rFonts w:asciiTheme="minorHAnsi" w:eastAsiaTheme="minorEastAsia" w:hAnsiTheme="minorHAnsi" w:cstheme="minorBidi"/>
          <w:lang w:eastAsia="ja-JP"/>
        </w:rPr>
        <w:t>faster than the average for all occupation</w:t>
      </w:r>
      <w:r w:rsidR="006B27D1">
        <w:rPr>
          <w:rStyle w:val="articlecontent"/>
          <w:rFonts w:asciiTheme="minorHAnsi" w:eastAsiaTheme="minorEastAsia" w:hAnsiTheme="minorHAnsi" w:cstheme="minorBidi"/>
          <w:lang w:eastAsia="ja-JP"/>
        </w:rPr>
        <w:t>s,</w:t>
      </w:r>
      <w:r w:rsidR="0051660D">
        <w:rPr>
          <w:rStyle w:val="articlecontent"/>
          <w:rFonts w:asciiTheme="minorHAnsi" w:eastAsiaTheme="minorEastAsia" w:hAnsiTheme="minorHAnsi" w:cstheme="minorBidi"/>
          <w:lang w:eastAsia="ja-JP"/>
        </w:rPr>
        <w:t xml:space="preserve"> plus</w:t>
      </w:r>
      <w:r w:rsidR="00023022">
        <w:rPr>
          <w:rStyle w:val="articlecontent"/>
          <w:rFonts w:asciiTheme="minorHAnsi" w:eastAsiaTheme="minorEastAsia" w:hAnsiTheme="minorHAnsi" w:cstheme="minorBidi"/>
          <w:lang w:eastAsia="ja-JP"/>
        </w:rPr>
        <w:t xml:space="preserve"> cooks and food preparation workers is projected to be 5 percent </w:t>
      </w:r>
      <w:r w:rsidRPr="003B3692">
        <w:rPr>
          <w:rStyle w:val="articlecontent"/>
          <w:rFonts w:asciiTheme="minorHAnsi" w:eastAsiaTheme="minorEastAsia" w:hAnsiTheme="minorHAnsi" w:cstheme="minorBidi"/>
          <w:lang w:eastAsia="ja-JP"/>
        </w:rPr>
        <w:t>from</w:t>
      </w:r>
      <w:r w:rsidR="00023022">
        <w:rPr>
          <w:rStyle w:val="articlecontent"/>
          <w:rFonts w:asciiTheme="minorHAnsi" w:eastAsiaTheme="minorEastAsia" w:hAnsiTheme="minorHAnsi" w:cstheme="minorBidi"/>
          <w:lang w:eastAsia="ja-JP"/>
        </w:rPr>
        <w:t xml:space="preserve"> 2014 to 2024. The percentage of growth for </w:t>
      </w:r>
      <w:r>
        <w:rPr>
          <w:rStyle w:val="articlecontent"/>
          <w:rFonts w:asciiTheme="minorHAnsi" w:eastAsiaTheme="minorEastAsia" w:hAnsiTheme="minorHAnsi" w:cstheme="minorBidi"/>
          <w:lang w:eastAsia="ja-JP"/>
        </w:rPr>
        <w:t>cooks</w:t>
      </w:r>
      <w:r w:rsidRPr="003B3692">
        <w:rPr>
          <w:rStyle w:val="articlecontent"/>
          <w:rFonts w:asciiTheme="minorHAnsi" w:eastAsiaTheme="minorEastAsia" w:hAnsiTheme="minorHAnsi" w:cstheme="minorBidi"/>
          <w:lang w:eastAsia="ja-JP"/>
        </w:rPr>
        <w:t xml:space="preserve"> </w:t>
      </w:r>
      <w:r w:rsidR="00023022">
        <w:rPr>
          <w:rStyle w:val="articlecontent"/>
          <w:rFonts w:asciiTheme="minorHAnsi" w:eastAsiaTheme="minorEastAsia" w:hAnsiTheme="minorHAnsi" w:cstheme="minorBidi"/>
          <w:lang w:eastAsia="ja-JP"/>
        </w:rPr>
        <w:t>within institutions and cafeterias</w:t>
      </w:r>
      <w:r w:rsidRPr="003B3692">
        <w:rPr>
          <w:rStyle w:val="articlecontent"/>
          <w:rFonts w:asciiTheme="minorHAnsi" w:eastAsiaTheme="minorEastAsia" w:hAnsiTheme="minorHAnsi" w:cstheme="minorBidi"/>
          <w:lang w:eastAsia="ja-JP"/>
        </w:rPr>
        <w:t xml:space="preserve"> </w:t>
      </w:r>
      <w:r w:rsidR="00023022">
        <w:rPr>
          <w:rStyle w:val="articlecontent"/>
          <w:rFonts w:asciiTheme="minorHAnsi" w:eastAsiaTheme="minorEastAsia" w:hAnsiTheme="minorHAnsi" w:cstheme="minorBidi"/>
          <w:lang w:eastAsia="ja-JP"/>
        </w:rPr>
        <w:t>is</w:t>
      </w:r>
      <w:r w:rsidRPr="003B3692">
        <w:rPr>
          <w:rStyle w:val="articlecontent"/>
          <w:rFonts w:asciiTheme="minorHAnsi" w:eastAsiaTheme="minorEastAsia" w:hAnsiTheme="minorHAnsi" w:cstheme="minorBidi"/>
          <w:lang w:eastAsia="ja-JP"/>
        </w:rPr>
        <w:t xml:space="preserve"> 6 percent</w:t>
      </w:r>
      <w:r w:rsidR="00023022">
        <w:rPr>
          <w:rStyle w:val="articlecontent"/>
          <w:rFonts w:asciiTheme="minorHAnsi" w:eastAsiaTheme="minorEastAsia" w:hAnsiTheme="minorHAnsi" w:cstheme="minorBidi"/>
          <w:lang w:eastAsia="ja-JP"/>
        </w:rPr>
        <w:t xml:space="preserve"> and</w:t>
      </w:r>
      <w:r w:rsidRPr="003B3692">
        <w:rPr>
          <w:rStyle w:val="articlecontent"/>
          <w:rFonts w:asciiTheme="minorHAnsi" w:eastAsiaTheme="minorEastAsia" w:hAnsiTheme="minorHAnsi" w:cstheme="minorBidi"/>
          <w:lang w:eastAsia="ja-JP"/>
        </w:rPr>
        <w:t xml:space="preserve"> </w:t>
      </w:r>
      <w:r w:rsidR="00023022">
        <w:rPr>
          <w:rStyle w:val="articlecontent"/>
          <w:rFonts w:asciiTheme="minorHAnsi" w:eastAsiaTheme="minorEastAsia" w:hAnsiTheme="minorHAnsi" w:cstheme="minorBidi"/>
          <w:lang w:eastAsia="ja-JP"/>
        </w:rPr>
        <w:t xml:space="preserve">restaurants is 14 percent. </w:t>
      </w:r>
      <w:r w:rsidRPr="003B3692">
        <w:rPr>
          <w:rStyle w:val="articlecontent"/>
          <w:rFonts w:asciiTheme="minorHAnsi" w:eastAsiaTheme="minorEastAsia" w:hAnsiTheme="minorHAnsi" w:cstheme="minorBidi"/>
          <w:lang w:eastAsia="ja-JP"/>
        </w:rPr>
        <w:t>(</w:t>
      </w:r>
      <w:hyperlink r:id="rId11" w:history="1">
        <w:r w:rsidR="006B27D1" w:rsidRPr="006B27D1">
          <w:rPr>
            <w:rStyle w:val="Hyperlink"/>
            <w:rFonts w:asciiTheme="minorHAnsi" w:eastAsiaTheme="minorEastAsia" w:hAnsiTheme="minorHAnsi" w:cstheme="minorBidi"/>
            <w:lang w:eastAsia="ja-JP"/>
          </w:rPr>
          <w:t>https://www.bls.gov/ooh/food-preparation-and-serving/cooks.htm#tab-6</w:t>
        </w:r>
      </w:hyperlink>
      <w:r w:rsidRPr="003B3692">
        <w:rPr>
          <w:rStyle w:val="articlecontent"/>
          <w:rFonts w:asciiTheme="minorHAnsi" w:eastAsiaTheme="minorEastAsia" w:hAnsiTheme="minorHAnsi" w:cstheme="minorBidi"/>
          <w:lang w:eastAsia="ja-JP"/>
        </w:rPr>
        <w:t>).</w:t>
      </w:r>
    </w:p>
    <w:p w14:paraId="5D6A9D9F" w14:textId="77777777" w:rsidR="004340AB" w:rsidRPr="00EC26DE" w:rsidRDefault="006E2E87" w:rsidP="00D67675">
      <w:pPr>
        <w:pStyle w:val="NormalWeb"/>
        <w:ind w:left="180"/>
        <w:rPr>
          <w:rStyle w:val="articlecontent"/>
          <w:rFonts w:asciiTheme="minorHAnsi" w:eastAsiaTheme="minorEastAsia" w:hAnsiTheme="minorHAnsi" w:cstheme="minorBidi"/>
          <w:lang w:eastAsia="ja-JP"/>
        </w:rPr>
      </w:pPr>
      <w:r w:rsidRPr="00FF3743">
        <w:rPr>
          <w:rStyle w:val="articlecontent"/>
          <w:rFonts w:asciiTheme="minorHAnsi" w:eastAsiaTheme="minorEastAsia" w:hAnsiTheme="minorHAnsi" w:cstheme="minorBidi"/>
          <w:lang w:eastAsia="ja-JP"/>
        </w:rPr>
        <w:t xml:space="preserve">The </w:t>
      </w:r>
      <w:r w:rsidR="00FF3743">
        <w:rPr>
          <w:rStyle w:val="articlecontent"/>
          <w:rFonts w:asciiTheme="minorHAnsi" w:eastAsiaTheme="minorEastAsia" w:hAnsiTheme="minorHAnsi" w:cstheme="minorBidi"/>
          <w:lang w:eastAsia="ja-JP"/>
        </w:rPr>
        <w:t>Culinary Arts</w:t>
      </w:r>
      <w:r w:rsidR="006F3EC0" w:rsidRPr="00FF3743">
        <w:rPr>
          <w:rStyle w:val="articlecontent"/>
          <w:rFonts w:asciiTheme="minorHAnsi" w:eastAsiaTheme="minorEastAsia" w:hAnsiTheme="minorHAnsi" w:cstheme="minorBidi"/>
          <w:lang w:eastAsia="ja-JP"/>
        </w:rPr>
        <w:t xml:space="preserve"> A</w:t>
      </w:r>
      <w:r w:rsidR="00FF3743">
        <w:rPr>
          <w:rStyle w:val="articlecontent"/>
          <w:rFonts w:asciiTheme="minorHAnsi" w:eastAsiaTheme="minorEastAsia" w:hAnsiTheme="minorHAnsi" w:cstheme="minorBidi"/>
          <w:lang w:eastAsia="ja-JP"/>
        </w:rPr>
        <w:t>O</w:t>
      </w:r>
      <w:r w:rsidR="006F3EC0" w:rsidRPr="00FF3743">
        <w:rPr>
          <w:rStyle w:val="articlecontent"/>
          <w:rFonts w:asciiTheme="minorHAnsi" w:eastAsiaTheme="minorEastAsia" w:hAnsiTheme="minorHAnsi" w:cstheme="minorBidi"/>
          <w:lang w:eastAsia="ja-JP"/>
        </w:rPr>
        <w:t>S program</w:t>
      </w:r>
      <w:r w:rsidR="006F54AC" w:rsidRPr="00FF3743">
        <w:rPr>
          <w:rStyle w:val="articlecontent"/>
          <w:rFonts w:asciiTheme="minorHAnsi" w:eastAsiaTheme="minorEastAsia" w:hAnsiTheme="minorHAnsi" w:cstheme="minorBidi"/>
          <w:lang w:eastAsia="ja-JP"/>
        </w:rPr>
        <w:t xml:space="preserve"> </w:t>
      </w:r>
      <w:r w:rsidR="00434A63" w:rsidRPr="00FF3743">
        <w:rPr>
          <w:rStyle w:val="articlecontent"/>
          <w:rFonts w:asciiTheme="minorHAnsi" w:eastAsiaTheme="minorEastAsia" w:hAnsiTheme="minorHAnsi" w:cstheme="minorBidi"/>
          <w:lang w:eastAsia="ja-JP"/>
        </w:rPr>
        <w:t>will</w:t>
      </w:r>
      <w:r w:rsidRPr="00FF3743">
        <w:rPr>
          <w:rStyle w:val="articlecontent"/>
          <w:rFonts w:asciiTheme="minorHAnsi" w:eastAsiaTheme="minorEastAsia" w:hAnsiTheme="minorHAnsi" w:cstheme="minorBidi"/>
          <w:lang w:eastAsia="ja-JP"/>
        </w:rPr>
        <w:t xml:space="preserve"> prepare students for entry-level employment in </w:t>
      </w:r>
      <w:r w:rsidR="006B27D1">
        <w:rPr>
          <w:rStyle w:val="articlecontent"/>
          <w:rFonts w:asciiTheme="minorHAnsi" w:eastAsiaTheme="minorEastAsia" w:hAnsiTheme="minorHAnsi" w:cstheme="minorBidi"/>
          <w:lang w:eastAsia="ja-JP"/>
        </w:rPr>
        <w:t>the food industry</w:t>
      </w:r>
      <w:r w:rsidRPr="00FF3743">
        <w:rPr>
          <w:rStyle w:val="articlecontent"/>
          <w:rFonts w:asciiTheme="minorHAnsi" w:eastAsiaTheme="minorEastAsia" w:hAnsiTheme="minorHAnsi" w:cstheme="minorBidi"/>
          <w:lang w:eastAsia="ja-JP"/>
        </w:rPr>
        <w:t xml:space="preserve"> i</w:t>
      </w:r>
      <w:r w:rsidR="00FF3743">
        <w:rPr>
          <w:rStyle w:val="articlecontent"/>
          <w:rFonts w:asciiTheme="minorHAnsi" w:eastAsiaTheme="minorEastAsia" w:hAnsiTheme="minorHAnsi" w:cstheme="minorBidi"/>
          <w:lang w:eastAsia="ja-JP"/>
        </w:rPr>
        <w:t>mmediately following graduation.</w:t>
      </w:r>
      <w:r w:rsidRPr="00FF3743">
        <w:rPr>
          <w:rStyle w:val="articlecontent"/>
          <w:rFonts w:asciiTheme="minorHAnsi" w:eastAsiaTheme="minorEastAsia" w:hAnsiTheme="minorHAnsi" w:cstheme="minorBidi"/>
          <w:lang w:eastAsia="ja-JP"/>
        </w:rPr>
        <w:t xml:space="preserve"> </w:t>
      </w:r>
      <w:r w:rsidR="00EC26DE" w:rsidRPr="00EC26DE">
        <w:rPr>
          <w:rStyle w:val="articlecontent"/>
          <w:rFonts w:asciiTheme="minorHAnsi" w:eastAsiaTheme="minorEastAsia" w:hAnsiTheme="minorHAnsi" w:cstheme="minorBidi"/>
          <w:lang w:eastAsia="ja-JP"/>
        </w:rPr>
        <w:t xml:space="preserve">NTID is committed to recruiting and enrolling a diverse student population </w:t>
      </w:r>
      <w:r w:rsidR="00EC26DE">
        <w:rPr>
          <w:rStyle w:val="articlecontent"/>
          <w:rFonts w:asciiTheme="minorHAnsi" w:eastAsiaTheme="minorEastAsia" w:hAnsiTheme="minorHAnsi" w:cstheme="minorBidi"/>
          <w:lang w:eastAsia="ja-JP"/>
        </w:rPr>
        <w:t xml:space="preserve">and we believe this program could potentially attract a number of these students accepted at NTID. </w:t>
      </w:r>
      <w:r w:rsidR="00D67675" w:rsidRPr="00FF3743">
        <w:rPr>
          <w:rStyle w:val="articlecontent"/>
          <w:rFonts w:asciiTheme="minorHAnsi" w:eastAsiaTheme="minorEastAsia" w:hAnsiTheme="minorHAnsi" w:cstheme="minorBidi"/>
          <w:lang w:eastAsia="ja-JP"/>
        </w:rPr>
        <w:t xml:space="preserve">An ACT score of </w:t>
      </w:r>
      <w:r w:rsidR="00D67675">
        <w:rPr>
          <w:rStyle w:val="articlecontent"/>
          <w:rFonts w:asciiTheme="minorHAnsi" w:eastAsiaTheme="minorEastAsia" w:hAnsiTheme="minorHAnsi" w:cstheme="minorBidi"/>
          <w:lang w:eastAsia="ja-JP"/>
        </w:rPr>
        <w:t xml:space="preserve">14 </w:t>
      </w:r>
      <w:r w:rsidR="00D67675" w:rsidRPr="00FF3743">
        <w:rPr>
          <w:rStyle w:val="articlecontent"/>
          <w:rFonts w:asciiTheme="minorHAnsi" w:eastAsiaTheme="minorEastAsia" w:hAnsiTheme="minorHAnsi" w:cstheme="minorBidi"/>
          <w:lang w:eastAsia="ja-JP"/>
        </w:rPr>
        <w:t>is required for entrance</w:t>
      </w:r>
      <w:r w:rsidR="00D67675">
        <w:rPr>
          <w:rStyle w:val="articlecontent"/>
          <w:rFonts w:asciiTheme="minorHAnsi" w:eastAsiaTheme="minorEastAsia" w:hAnsiTheme="minorHAnsi" w:cstheme="minorBidi"/>
          <w:lang w:eastAsia="ja-JP"/>
        </w:rPr>
        <w:t xml:space="preserve"> to this </w:t>
      </w:r>
      <w:r w:rsidR="006B0C43">
        <w:rPr>
          <w:rStyle w:val="articlecontent"/>
          <w:rFonts w:asciiTheme="minorHAnsi" w:eastAsiaTheme="minorEastAsia" w:hAnsiTheme="minorHAnsi" w:cstheme="minorBidi"/>
          <w:lang w:eastAsia="ja-JP"/>
        </w:rPr>
        <w:t xml:space="preserve">AOS </w:t>
      </w:r>
      <w:r w:rsidR="00D67675">
        <w:rPr>
          <w:rStyle w:val="articlecontent"/>
          <w:rFonts w:asciiTheme="minorHAnsi" w:eastAsiaTheme="minorEastAsia" w:hAnsiTheme="minorHAnsi" w:cstheme="minorBidi"/>
          <w:lang w:eastAsia="ja-JP"/>
        </w:rPr>
        <w:t>program</w:t>
      </w:r>
      <w:r w:rsidR="00D67675" w:rsidRPr="00FF3743">
        <w:rPr>
          <w:rStyle w:val="articlecontent"/>
          <w:rFonts w:asciiTheme="minorHAnsi" w:eastAsiaTheme="minorEastAsia" w:hAnsiTheme="minorHAnsi" w:cstheme="minorBidi"/>
          <w:lang w:eastAsia="ja-JP"/>
        </w:rPr>
        <w:t xml:space="preserve"> for </w:t>
      </w:r>
      <w:r w:rsidR="006B0C43">
        <w:rPr>
          <w:rStyle w:val="articlecontent"/>
          <w:rFonts w:asciiTheme="minorHAnsi" w:eastAsiaTheme="minorEastAsia" w:hAnsiTheme="minorHAnsi" w:cstheme="minorBidi"/>
          <w:lang w:eastAsia="ja-JP"/>
        </w:rPr>
        <w:t xml:space="preserve">all </w:t>
      </w:r>
      <w:r w:rsidR="00D67675">
        <w:rPr>
          <w:rStyle w:val="articlecontent"/>
          <w:rFonts w:asciiTheme="minorHAnsi" w:eastAsiaTheme="minorEastAsia" w:hAnsiTheme="minorHAnsi" w:cstheme="minorBidi"/>
          <w:lang w:eastAsia="ja-JP"/>
        </w:rPr>
        <w:t>students.</w:t>
      </w:r>
    </w:p>
    <w:p w14:paraId="5E2DB301" w14:textId="77777777" w:rsidR="00966AB5" w:rsidRPr="007F1468" w:rsidRDefault="00966AB5" w:rsidP="00A85594">
      <w:pPr>
        <w:pStyle w:val="Heading2"/>
        <w:jc w:val="both"/>
        <w:rPr>
          <w:rStyle w:val="Heading2Char"/>
          <w:b/>
          <w:color w:val="8496B0" w:themeColor="text2" w:themeTint="99"/>
        </w:rPr>
      </w:pPr>
      <w:r w:rsidRPr="007F1468">
        <w:rPr>
          <w:rStyle w:val="Heading2Char"/>
          <w:b/>
          <w:color w:val="8496B0" w:themeColor="text2" w:themeTint="99"/>
        </w:rPr>
        <w:t xml:space="preserve">III. Description of the New Program </w:t>
      </w:r>
    </w:p>
    <w:p w14:paraId="1A3909D4" w14:textId="77777777" w:rsidR="00C063D5" w:rsidRPr="00F4126B" w:rsidRDefault="00C063D5" w:rsidP="00C063D5">
      <w:pPr>
        <w:pStyle w:val="NormalWeb"/>
        <w:ind w:left="180"/>
        <w:rPr>
          <w:rStyle w:val="articlecontent"/>
          <w:rFonts w:asciiTheme="minorHAnsi" w:eastAsiaTheme="minorEastAsia" w:hAnsiTheme="minorHAnsi" w:cstheme="minorBidi"/>
          <w:lang w:eastAsia="ja-JP"/>
        </w:rPr>
      </w:pPr>
      <w:r w:rsidRPr="00F4126B">
        <w:rPr>
          <w:rStyle w:val="articlecontent"/>
          <w:rFonts w:asciiTheme="minorHAnsi" w:eastAsiaTheme="minorEastAsia" w:hAnsiTheme="minorHAnsi" w:cstheme="minorBidi"/>
          <w:lang w:eastAsia="ja-JP"/>
        </w:rPr>
        <w:t xml:space="preserve">Throughout the Culinary Arts </w:t>
      </w:r>
      <w:r>
        <w:rPr>
          <w:rStyle w:val="articlecontent"/>
          <w:rFonts w:asciiTheme="minorHAnsi" w:eastAsiaTheme="minorEastAsia" w:hAnsiTheme="minorHAnsi" w:cstheme="minorBidi"/>
          <w:lang w:eastAsia="ja-JP"/>
        </w:rPr>
        <w:t xml:space="preserve">associates degree </w:t>
      </w:r>
      <w:r w:rsidRPr="00F4126B">
        <w:rPr>
          <w:rStyle w:val="articlecontent"/>
          <w:rFonts w:asciiTheme="minorHAnsi" w:eastAsiaTheme="minorEastAsia" w:hAnsiTheme="minorHAnsi" w:cstheme="minorBidi"/>
          <w:lang w:eastAsia="ja-JP"/>
        </w:rPr>
        <w:t xml:space="preserve">program, food preparation and management skills are developed. Besides foundations-based coursework and skills development in hot food preparation, specific areas of study include wine appreciation, baking, methods and ingredients of international cuisines, America's regional cuisines, banquet management and buffet presentation and the skills of the cold kitchen. </w:t>
      </w:r>
    </w:p>
    <w:p w14:paraId="193AC30A" w14:textId="77777777" w:rsidR="00C063D5" w:rsidRPr="00F4126B" w:rsidRDefault="00C063D5" w:rsidP="00C063D5">
      <w:pPr>
        <w:pStyle w:val="NormalWeb"/>
        <w:ind w:left="180"/>
        <w:rPr>
          <w:rStyle w:val="articlecontent"/>
          <w:rFonts w:asciiTheme="minorHAnsi" w:eastAsiaTheme="minorEastAsia" w:hAnsiTheme="minorHAnsi" w:cstheme="minorBidi"/>
          <w:lang w:eastAsia="ja-JP"/>
        </w:rPr>
      </w:pPr>
      <w:r w:rsidRPr="00F4126B">
        <w:rPr>
          <w:rStyle w:val="articlecontent"/>
          <w:rFonts w:asciiTheme="minorHAnsi" w:eastAsiaTheme="minorEastAsia" w:hAnsiTheme="minorHAnsi" w:cstheme="minorBidi"/>
          <w:lang w:eastAsia="ja-JP"/>
        </w:rPr>
        <w:t xml:space="preserve">Through this proposed program, students will also have the opportunity to test and refine their skills, through co-op jobs, internships and partnerships with multiple local restaurants and hotels, while learning hands-on what food, drink and service styles appeal to the modern consumer. Graduates of the program can be employed throughout the hospitality industry as chefs, bakers, cooks and apprentices in hotels, restaurants, </w:t>
      </w:r>
      <w:r>
        <w:rPr>
          <w:rStyle w:val="articlecontent"/>
          <w:rFonts w:asciiTheme="minorHAnsi" w:eastAsiaTheme="minorEastAsia" w:hAnsiTheme="minorHAnsi" w:cstheme="minorBidi"/>
          <w:lang w:eastAsia="ja-JP"/>
        </w:rPr>
        <w:t xml:space="preserve">institutions, </w:t>
      </w:r>
      <w:r w:rsidRPr="00F4126B">
        <w:rPr>
          <w:rStyle w:val="articlecontent"/>
          <w:rFonts w:asciiTheme="minorHAnsi" w:eastAsiaTheme="minorEastAsia" w:hAnsiTheme="minorHAnsi" w:cstheme="minorBidi"/>
          <w:lang w:eastAsia="ja-JP"/>
        </w:rPr>
        <w:t xml:space="preserve">clubs and hospitals. </w:t>
      </w:r>
    </w:p>
    <w:p w14:paraId="7E5912DF" w14:textId="77777777" w:rsidR="00C063D5" w:rsidRPr="00F4126B" w:rsidRDefault="00C063D5" w:rsidP="00C063D5">
      <w:pPr>
        <w:spacing w:before="100" w:beforeAutospacing="1" w:after="100" w:afterAutospacing="1"/>
        <w:ind w:left="180"/>
        <w:rPr>
          <w:rStyle w:val="articlecontent"/>
        </w:rPr>
      </w:pPr>
      <w:r w:rsidRPr="00F4126B">
        <w:rPr>
          <w:rStyle w:val="articlecontent"/>
        </w:rPr>
        <w:t>Upon graduation with an Associate in Occupational Studies degree in Culinary Arts, the graduate will be qualified to:</w:t>
      </w:r>
    </w:p>
    <w:p w14:paraId="3A35F6B7" w14:textId="77777777" w:rsidR="00C063D5" w:rsidRDefault="00C063D5" w:rsidP="00C063D5">
      <w:pPr>
        <w:pStyle w:val="ListParagraph"/>
        <w:numPr>
          <w:ilvl w:val="0"/>
          <w:numId w:val="9"/>
        </w:numPr>
        <w:spacing w:after="100" w:afterAutospacing="1"/>
        <w:rPr>
          <w:rStyle w:val="articlecontent"/>
          <w:rFonts w:eastAsiaTheme="minorEastAsia"/>
        </w:rPr>
      </w:pPr>
      <w:r w:rsidRPr="00F4126B">
        <w:rPr>
          <w:rStyle w:val="articlecontent"/>
          <w:rFonts w:eastAsiaTheme="minorEastAsia"/>
        </w:rPr>
        <w:lastRenderedPageBreak/>
        <w:t>demonstrate food preparation methods appropriate for the specific production situation and food item;</w:t>
      </w:r>
    </w:p>
    <w:p w14:paraId="43468E24" w14:textId="77777777" w:rsidR="00C063D5" w:rsidRPr="00C063D5" w:rsidRDefault="00C063D5" w:rsidP="00C063D5">
      <w:pPr>
        <w:numPr>
          <w:ilvl w:val="0"/>
          <w:numId w:val="9"/>
        </w:numPr>
        <w:spacing w:before="100" w:beforeAutospacing="1" w:after="100" w:afterAutospacing="1"/>
        <w:rPr>
          <w:rStyle w:val="articlecontent"/>
          <w:sz w:val="22"/>
          <w:szCs w:val="22"/>
          <w:lang w:eastAsia="en-US"/>
        </w:rPr>
      </w:pPr>
      <w:r w:rsidRPr="00C063D5">
        <w:rPr>
          <w:rStyle w:val="articlecontent"/>
          <w:sz w:val="22"/>
          <w:szCs w:val="22"/>
          <w:lang w:eastAsia="en-US"/>
        </w:rPr>
        <w:t>analyze the nutritional composition of a recipe and be able to successfully modify and prepare dishes meeting recognized nutritional guidelines;</w:t>
      </w:r>
    </w:p>
    <w:p w14:paraId="00EC92B1" w14:textId="77777777" w:rsidR="001431BF" w:rsidRDefault="00C063D5" w:rsidP="001431BF">
      <w:pPr>
        <w:pStyle w:val="ListParagraph"/>
        <w:numPr>
          <w:ilvl w:val="0"/>
          <w:numId w:val="9"/>
        </w:numPr>
        <w:spacing w:before="100" w:beforeAutospacing="1" w:after="100" w:afterAutospacing="1"/>
        <w:rPr>
          <w:rStyle w:val="articlecontent"/>
          <w:rFonts w:eastAsiaTheme="minorEastAsia"/>
        </w:rPr>
      </w:pPr>
      <w:r w:rsidRPr="001431BF">
        <w:rPr>
          <w:rStyle w:val="articlecontent"/>
          <w:rFonts w:eastAsiaTheme="minorEastAsia"/>
        </w:rPr>
        <w:t>maintain a safe and sanitary environment for food preparation and</w:t>
      </w:r>
      <w:r w:rsidR="001431BF">
        <w:rPr>
          <w:rStyle w:val="articlecontent"/>
          <w:rFonts w:eastAsiaTheme="minorEastAsia"/>
        </w:rPr>
        <w:t xml:space="preserve"> service;</w:t>
      </w:r>
    </w:p>
    <w:p w14:paraId="015FABA0" w14:textId="5B2DA3AA" w:rsidR="00147D8A" w:rsidRPr="001431BF" w:rsidRDefault="001431BF" w:rsidP="001431BF">
      <w:pPr>
        <w:pStyle w:val="ListParagraph"/>
        <w:numPr>
          <w:ilvl w:val="0"/>
          <w:numId w:val="9"/>
        </w:numPr>
        <w:spacing w:before="100" w:beforeAutospacing="1" w:after="100" w:afterAutospacing="1"/>
        <w:rPr>
          <w:rStyle w:val="articlecontent"/>
          <w:rFonts w:eastAsiaTheme="minorEastAsia"/>
        </w:rPr>
      </w:pPr>
      <w:r w:rsidRPr="001431BF">
        <w:rPr>
          <w:rStyle w:val="articlecontent"/>
          <w:rFonts w:eastAsiaTheme="minorEastAsia"/>
        </w:rPr>
        <w:t>u</w:t>
      </w:r>
      <w:r w:rsidR="00147D8A" w:rsidRPr="001431BF">
        <w:rPr>
          <w:rStyle w:val="articlecontent"/>
          <w:rFonts w:eastAsiaTheme="minorEastAsia"/>
        </w:rPr>
        <w:t xml:space="preserve">tilize appropriate technology needed to support culinary arts/food operations; </w:t>
      </w:r>
    </w:p>
    <w:p w14:paraId="4E47C52F" w14:textId="77777777" w:rsidR="00C063D5" w:rsidRPr="00F4126B" w:rsidRDefault="00C063D5" w:rsidP="00C063D5">
      <w:pPr>
        <w:pStyle w:val="ListParagraph"/>
        <w:numPr>
          <w:ilvl w:val="0"/>
          <w:numId w:val="9"/>
        </w:numPr>
        <w:spacing w:before="100" w:beforeAutospacing="1" w:after="100" w:afterAutospacing="1"/>
        <w:rPr>
          <w:rStyle w:val="articlecontent"/>
          <w:rFonts w:eastAsiaTheme="minorEastAsia"/>
        </w:rPr>
      </w:pPr>
      <w:r w:rsidRPr="00C063D5">
        <w:rPr>
          <w:rStyle w:val="articlecontent"/>
          <w:rFonts w:eastAsiaTheme="minorEastAsia"/>
        </w:rPr>
        <w:t xml:space="preserve">effectively communicate </w:t>
      </w:r>
      <w:r w:rsidR="006B27D1">
        <w:rPr>
          <w:rStyle w:val="articlecontent"/>
          <w:rFonts w:eastAsiaTheme="minorEastAsia"/>
        </w:rPr>
        <w:t>face-to-face</w:t>
      </w:r>
      <w:r w:rsidRPr="00C063D5">
        <w:rPr>
          <w:rStyle w:val="articlecontent"/>
          <w:rFonts w:eastAsiaTheme="minorEastAsia"/>
        </w:rPr>
        <w:t xml:space="preserve"> and in </w:t>
      </w:r>
      <w:r w:rsidR="006B27D1">
        <w:rPr>
          <w:rStyle w:val="articlecontent"/>
          <w:rFonts w:eastAsiaTheme="minorEastAsia"/>
        </w:rPr>
        <w:t xml:space="preserve">brief </w:t>
      </w:r>
      <w:r w:rsidRPr="00C063D5">
        <w:rPr>
          <w:rStyle w:val="articlecontent"/>
          <w:rFonts w:eastAsiaTheme="minorEastAsia"/>
        </w:rPr>
        <w:t>writ</w:t>
      </w:r>
      <w:r w:rsidR="006B27D1">
        <w:rPr>
          <w:rStyle w:val="articlecontent"/>
          <w:rFonts w:eastAsiaTheme="minorEastAsia"/>
        </w:rPr>
        <w:t>ten statements</w:t>
      </w:r>
      <w:r w:rsidRPr="00C063D5">
        <w:rPr>
          <w:rStyle w:val="articlecontent"/>
          <w:rFonts w:eastAsiaTheme="minorEastAsia"/>
        </w:rPr>
        <w:t xml:space="preserve"> with superiors, peers, subordinates and customers in both work and social settings</w:t>
      </w:r>
      <w:r w:rsidR="006B27D1">
        <w:rPr>
          <w:rStyle w:val="articlecontent"/>
          <w:rFonts w:eastAsiaTheme="minorEastAsia"/>
        </w:rPr>
        <w:t>.</w:t>
      </w:r>
    </w:p>
    <w:p w14:paraId="32646E6C" w14:textId="77777777" w:rsidR="00966AB5" w:rsidRPr="00DE674B" w:rsidRDefault="00966AB5" w:rsidP="00AC3717">
      <w:pPr>
        <w:spacing w:before="100" w:beforeAutospacing="1" w:after="100" w:afterAutospacing="1"/>
        <w:ind w:left="180"/>
        <w:rPr>
          <w:sz w:val="22"/>
          <w:szCs w:val="22"/>
        </w:rPr>
      </w:pPr>
    </w:p>
    <w:tbl>
      <w:tblPr>
        <w:tblpPr w:leftFromText="180" w:rightFromText="180" w:vertAnchor="text" w:horzAnchor="margin" w:tblpY="176"/>
        <w:tblW w:w="10008" w:type="dxa"/>
        <w:tblLayout w:type="fixed"/>
        <w:tblLook w:val="0000" w:firstRow="0" w:lastRow="0" w:firstColumn="0" w:lastColumn="0" w:noHBand="0" w:noVBand="0"/>
      </w:tblPr>
      <w:tblGrid>
        <w:gridCol w:w="5004"/>
        <w:gridCol w:w="5004"/>
      </w:tblGrid>
      <w:tr w:rsidR="00945C5D" w:rsidRPr="00144508" w14:paraId="446CCB1F" w14:textId="77777777" w:rsidTr="00945C5D">
        <w:tc>
          <w:tcPr>
            <w:tcW w:w="5004" w:type="dxa"/>
            <w:tcBorders>
              <w:top w:val="single" w:sz="4" w:space="0" w:color="auto"/>
              <w:left w:val="single" w:sz="4" w:space="0" w:color="auto"/>
              <w:bottom w:val="single" w:sz="4" w:space="0" w:color="auto"/>
              <w:right w:val="single" w:sz="4" w:space="0" w:color="auto"/>
            </w:tcBorders>
          </w:tcPr>
          <w:p w14:paraId="51ECFC13" w14:textId="77777777" w:rsidR="00945C5D" w:rsidRPr="00A0259E" w:rsidRDefault="00945C5D" w:rsidP="00945C5D">
            <w:pPr>
              <w:tabs>
                <w:tab w:val="left" w:pos="4212"/>
                <w:tab w:val="left" w:pos="4482"/>
              </w:tabs>
              <w:spacing w:before="80" w:after="40"/>
              <w:ind w:right="-108"/>
              <w:rPr>
                <w:b/>
                <w:sz w:val="22"/>
                <w:szCs w:val="22"/>
              </w:rPr>
            </w:pPr>
            <w:r w:rsidRPr="00A0259E">
              <w:rPr>
                <w:b/>
                <w:sz w:val="22"/>
                <w:szCs w:val="22"/>
              </w:rPr>
              <w:t>Fall Semester (1st year)</w:t>
            </w:r>
            <w:r w:rsidRPr="00A0259E">
              <w:rPr>
                <w:b/>
                <w:sz w:val="22"/>
                <w:szCs w:val="22"/>
              </w:rPr>
              <w:tab/>
              <w:t>Credits</w:t>
            </w:r>
          </w:p>
          <w:p w14:paraId="0B8F52C0"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NCAR-100 Freshman Seminar</w:t>
            </w:r>
            <w:r w:rsidRPr="006B27D1">
              <w:rPr>
                <w:sz w:val="22"/>
                <w:szCs w:val="22"/>
              </w:rPr>
              <w:tab/>
              <w:t>1</w:t>
            </w:r>
          </w:p>
          <w:p w14:paraId="14664E2B"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w:t>
            </w:r>
            <w:r w:rsidR="009C73FC" w:rsidRPr="006B27D1">
              <w:rPr>
                <w:sz w:val="22"/>
                <w:szCs w:val="22"/>
              </w:rPr>
              <w:t xml:space="preserve">LAS Elective: NMTH </w:t>
            </w:r>
            <w:r w:rsidR="00C91805" w:rsidRPr="006B27D1">
              <w:rPr>
                <w:sz w:val="22"/>
                <w:szCs w:val="22"/>
              </w:rPr>
              <w:t>xxx</w:t>
            </w:r>
            <w:r w:rsidR="009C73FC" w:rsidRPr="006B27D1">
              <w:rPr>
                <w:sz w:val="22"/>
                <w:szCs w:val="22"/>
              </w:rPr>
              <w:t xml:space="preserve"> </w:t>
            </w:r>
            <w:r w:rsidR="002A48CB" w:rsidRPr="006B27D1">
              <w:rPr>
                <w:sz w:val="22"/>
                <w:szCs w:val="22"/>
              </w:rPr>
              <w:t>Culinary Math</w:t>
            </w:r>
            <w:r w:rsidRPr="006B27D1">
              <w:rPr>
                <w:sz w:val="22"/>
                <w:szCs w:val="22"/>
              </w:rPr>
              <w:tab/>
              <w:t>3</w:t>
            </w:r>
          </w:p>
          <w:p w14:paraId="33D186DD"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w:t>
            </w:r>
            <w:r w:rsidR="00341D3D" w:rsidRPr="006B27D1">
              <w:rPr>
                <w:sz w:val="22"/>
                <w:szCs w:val="22"/>
              </w:rPr>
              <w:t>BCA</w:t>
            </w:r>
            <w:r w:rsidRPr="006B27D1">
              <w:rPr>
                <w:sz w:val="22"/>
                <w:szCs w:val="22"/>
              </w:rPr>
              <w:t>-140</w:t>
            </w:r>
            <w:r w:rsidR="00341D3D" w:rsidRPr="006B27D1">
              <w:rPr>
                <w:sz w:val="22"/>
                <w:szCs w:val="22"/>
              </w:rPr>
              <w:t xml:space="preserve"> Culinary Arts </w:t>
            </w:r>
            <w:r w:rsidR="00FA7B64" w:rsidRPr="006B27D1">
              <w:rPr>
                <w:sz w:val="22"/>
                <w:szCs w:val="22"/>
              </w:rPr>
              <w:t>Fundamentals</w:t>
            </w:r>
            <w:r w:rsidRPr="006B27D1">
              <w:rPr>
                <w:sz w:val="22"/>
                <w:szCs w:val="22"/>
              </w:rPr>
              <w:tab/>
              <w:t>3</w:t>
            </w:r>
          </w:p>
          <w:p w14:paraId="082F8B74"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w:t>
            </w:r>
            <w:r w:rsidR="00341D3D" w:rsidRPr="006B27D1">
              <w:rPr>
                <w:sz w:val="22"/>
                <w:szCs w:val="22"/>
              </w:rPr>
              <w:t>BCA</w:t>
            </w:r>
            <w:r w:rsidR="0009568D" w:rsidRPr="006B27D1">
              <w:rPr>
                <w:sz w:val="22"/>
                <w:szCs w:val="22"/>
              </w:rPr>
              <w:t>-15</w:t>
            </w:r>
            <w:r w:rsidRPr="006B27D1">
              <w:rPr>
                <w:sz w:val="22"/>
                <w:szCs w:val="22"/>
              </w:rPr>
              <w:t>0</w:t>
            </w:r>
            <w:r w:rsidR="00341D3D" w:rsidRPr="006B27D1">
              <w:rPr>
                <w:sz w:val="22"/>
                <w:szCs w:val="22"/>
              </w:rPr>
              <w:t xml:space="preserve"> </w:t>
            </w:r>
            <w:r w:rsidR="00341D3D" w:rsidRPr="002E5B25">
              <w:rPr>
                <w:sz w:val="22"/>
                <w:szCs w:val="22"/>
              </w:rPr>
              <w:t>Sanitation</w:t>
            </w:r>
            <w:r w:rsidR="00D67675" w:rsidRPr="002E5B25">
              <w:rPr>
                <w:sz w:val="22"/>
                <w:szCs w:val="22"/>
              </w:rPr>
              <w:t xml:space="preserve"> &amp; Safety</w:t>
            </w:r>
            <w:r w:rsidRPr="006B27D1">
              <w:rPr>
                <w:sz w:val="22"/>
                <w:szCs w:val="22"/>
              </w:rPr>
              <w:tab/>
              <w:t>3</w:t>
            </w:r>
          </w:p>
          <w:p w14:paraId="23059957" w14:textId="77777777" w:rsidR="0009568D" w:rsidRPr="006B27D1" w:rsidRDefault="0009568D" w:rsidP="0009568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NXXX-xxx ASL/Deaf Cultural Studies</w:t>
            </w:r>
            <w:r w:rsidR="00D528AB" w:rsidRPr="006B27D1">
              <w:rPr>
                <w:sz w:val="22"/>
                <w:szCs w:val="22"/>
              </w:rPr>
              <w:t>*</w:t>
            </w:r>
            <w:r w:rsidRPr="006B27D1">
              <w:rPr>
                <w:sz w:val="22"/>
                <w:szCs w:val="22"/>
              </w:rPr>
              <w:tab/>
              <w:t>3</w:t>
            </w:r>
          </w:p>
          <w:p w14:paraId="28D85AED" w14:textId="77777777" w:rsidR="0009568D" w:rsidRPr="006B27D1" w:rsidRDefault="0009568D" w:rsidP="00945C5D">
            <w:pPr>
              <w:tabs>
                <w:tab w:val="left" w:pos="900"/>
                <w:tab w:val="left" w:pos="4482"/>
                <w:tab w:val="decimal" w:pos="4662"/>
              </w:tabs>
              <w:spacing w:after="40"/>
              <w:rPr>
                <w:sz w:val="22"/>
                <w:szCs w:val="22"/>
              </w:rPr>
            </w:pPr>
          </w:p>
          <w:p w14:paraId="0F24F20B" w14:textId="77777777" w:rsidR="00945C5D" w:rsidRPr="006B27D1" w:rsidRDefault="00945C5D" w:rsidP="00A0259E">
            <w:pPr>
              <w:tabs>
                <w:tab w:val="left" w:pos="4212"/>
                <w:tab w:val="decimal" w:pos="4590"/>
              </w:tabs>
              <w:spacing w:before="80" w:after="40"/>
              <w:ind w:right="-108"/>
              <w:rPr>
                <w:sz w:val="22"/>
                <w:szCs w:val="22"/>
              </w:rPr>
            </w:pPr>
            <w:r w:rsidRPr="006B27D1">
              <w:rPr>
                <w:sz w:val="22"/>
                <w:szCs w:val="22"/>
              </w:rPr>
              <w:tab/>
            </w:r>
            <w:r w:rsidRPr="006B27D1">
              <w:rPr>
                <w:sz w:val="22"/>
                <w:szCs w:val="22"/>
              </w:rPr>
              <w:tab/>
              <w:t>1</w:t>
            </w:r>
            <w:r w:rsidR="00A0259E">
              <w:rPr>
                <w:sz w:val="22"/>
                <w:szCs w:val="22"/>
              </w:rPr>
              <w:t>3</w:t>
            </w:r>
          </w:p>
        </w:tc>
        <w:tc>
          <w:tcPr>
            <w:tcW w:w="5004" w:type="dxa"/>
            <w:tcBorders>
              <w:top w:val="single" w:sz="4" w:space="0" w:color="auto"/>
              <w:left w:val="single" w:sz="4" w:space="0" w:color="auto"/>
              <w:bottom w:val="single" w:sz="4" w:space="0" w:color="auto"/>
              <w:right w:val="single" w:sz="4" w:space="0" w:color="auto"/>
            </w:tcBorders>
          </w:tcPr>
          <w:p w14:paraId="17664F77" w14:textId="77777777" w:rsidR="00945C5D" w:rsidRPr="00A0259E" w:rsidRDefault="00945C5D" w:rsidP="00945C5D">
            <w:pPr>
              <w:tabs>
                <w:tab w:val="right" w:pos="4806"/>
              </w:tabs>
              <w:spacing w:before="80" w:after="40"/>
              <w:ind w:right="-108"/>
              <w:rPr>
                <w:b/>
                <w:sz w:val="22"/>
                <w:szCs w:val="22"/>
              </w:rPr>
            </w:pPr>
            <w:r w:rsidRPr="00A0259E">
              <w:rPr>
                <w:b/>
                <w:sz w:val="22"/>
                <w:szCs w:val="22"/>
              </w:rPr>
              <w:t>Spring Semester (1st year)</w:t>
            </w:r>
            <w:r w:rsidRPr="00A0259E">
              <w:rPr>
                <w:b/>
                <w:sz w:val="22"/>
                <w:szCs w:val="22"/>
              </w:rPr>
              <w:tab/>
              <w:t>Credits</w:t>
            </w:r>
          </w:p>
          <w:p w14:paraId="4B0335F0" w14:textId="77777777" w:rsidR="00945C5D" w:rsidRPr="006B27D1"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w:t>
            </w:r>
            <w:r w:rsidR="00341D3D" w:rsidRPr="006B27D1">
              <w:rPr>
                <w:sz w:val="22"/>
                <w:szCs w:val="22"/>
              </w:rPr>
              <w:t xml:space="preserve"> NENG-212 Career English I </w:t>
            </w:r>
            <w:r w:rsidRPr="006B27D1">
              <w:rPr>
                <w:sz w:val="22"/>
                <w:szCs w:val="22"/>
              </w:rPr>
              <w:tab/>
              <w:t>3</w:t>
            </w:r>
          </w:p>
          <w:p w14:paraId="55390A62" w14:textId="77777777" w:rsidR="00945C5D" w:rsidRPr="006B27D1"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w:t>
            </w:r>
            <w:r w:rsidR="00341D3D" w:rsidRPr="006B27D1">
              <w:rPr>
                <w:sz w:val="22"/>
                <w:szCs w:val="22"/>
              </w:rPr>
              <w:t>NBCA-</w:t>
            </w:r>
            <w:r w:rsidR="0009568D" w:rsidRPr="006B27D1">
              <w:rPr>
                <w:sz w:val="22"/>
                <w:szCs w:val="22"/>
              </w:rPr>
              <w:t>16</w:t>
            </w:r>
            <w:r w:rsidR="00341D3D" w:rsidRPr="006B27D1">
              <w:rPr>
                <w:sz w:val="22"/>
                <w:szCs w:val="22"/>
              </w:rPr>
              <w:t xml:space="preserve">0 </w:t>
            </w:r>
            <w:r w:rsidR="002A48CB" w:rsidRPr="006B27D1">
              <w:rPr>
                <w:sz w:val="22"/>
                <w:szCs w:val="22"/>
              </w:rPr>
              <w:t xml:space="preserve">Culinary Nutrition </w:t>
            </w:r>
            <w:r w:rsidRPr="006B27D1">
              <w:rPr>
                <w:sz w:val="22"/>
                <w:szCs w:val="22"/>
              </w:rPr>
              <w:tab/>
              <w:t>3</w:t>
            </w:r>
          </w:p>
          <w:p w14:paraId="08503569" w14:textId="77777777" w:rsidR="00945C5D"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N</w:t>
            </w:r>
            <w:r w:rsidR="00341D3D" w:rsidRPr="006B27D1">
              <w:rPr>
                <w:sz w:val="22"/>
                <w:szCs w:val="22"/>
              </w:rPr>
              <w:t>BCA</w:t>
            </w:r>
            <w:r w:rsidRPr="006B27D1">
              <w:rPr>
                <w:sz w:val="22"/>
                <w:szCs w:val="22"/>
              </w:rPr>
              <w:t>-1</w:t>
            </w:r>
            <w:r w:rsidR="0009568D" w:rsidRPr="006B27D1">
              <w:rPr>
                <w:sz w:val="22"/>
                <w:szCs w:val="22"/>
              </w:rPr>
              <w:t>65</w:t>
            </w:r>
            <w:r w:rsidR="002325AB" w:rsidRPr="006B27D1">
              <w:rPr>
                <w:sz w:val="22"/>
                <w:szCs w:val="22"/>
              </w:rPr>
              <w:t xml:space="preserve"> </w:t>
            </w:r>
            <w:r w:rsidR="00713174" w:rsidRPr="006B27D1">
              <w:rPr>
                <w:sz w:val="22"/>
                <w:szCs w:val="22"/>
              </w:rPr>
              <w:t xml:space="preserve">Intro to </w:t>
            </w:r>
            <w:r w:rsidR="002325AB" w:rsidRPr="006B27D1">
              <w:rPr>
                <w:sz w:val="22"/>
                <w:szCs w:val="22"/>
              </w:rPr>
              <w:t>Baking</w:t>
            </w:r>
            <w:r w:rsidR="00713174" w:rsidRPr="006B27D1">
              <w:rPr>
                <w:sz w:val="22"/>
                <w:szCs w:val="22"/>
              </w:rPr>
              <w:t xml:space="preserve"> &amp; Pastries</w:t>
            </w:r>
            <w:r w:rsidRPr="006B27D1">
              <w:rPr>
                <w:sz w:val="22"/>
                <w:szCs w:val="22"/>
              </w:rPr>
              <w:tab/>
              <w:t>3</w:t>
            </w:r>
          </w:p>
          <w:p w14:paraId="081DAE87" w14:textId="77777777" w:rsidR="00A0259E" w:rsidRPr="00E01614" w:rsidRDefault="00A0259E" w:rsidP="00A0259E">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NBCA-</w:t>
            </w:r>
            <w:r w:rsidRPr="00E01614">
              <w:rPr>
                <w:sz w:val="22"/>
                <w:szCs w:val="22"/>
              </w:rPr>
              <w:t>145 Introductory Food Prep</w:t>
            </w:r>
            <w:r w:rsidRPr="00E01614">
              <w:rPr>
                <w:sz w:val="22"/>
                <w:szCs w:val="22"/>
              </w:rPr>
              <w:tab/>
              <w:t>3</w:t>
            </w:r>
          </w:p>
          <w:p w14:paraId="75BD190D" w14:textId="7CC3EA2C" w:rsidR="00945C5D" w:rsidRPr="006B27D1" w:rsidRDefault="00945C5D" w:rsidP="00945C5D">
            <w:pPr>
              <w:tabs>
                <w:tab w:val="left" w:pos="900"/>
                <w:tab w:val="decimal" w:pos="4626"/>
                <w:tab w:val="right" w:pos="4806"/>
              </w:tabs>
              <w:spacing w:after="40"/>
              <w:rPr>
                <w:sz w:val="22"/>
                <w:szCs w:val="22"/>
              </w:rPr>
            </w:pPr>
            <w:r w:rsidRPr="00E01614">
              <w:rPr>
                <w:sz w:val="22"/>
                <w:szCs w:val="22"/>
              </w:rPr>
              <w:sym w:font="Symbol" w:char="F0F0"/>
            </w:r>
            <w:r w:rsidRPr="00E01614">
              <w:rPr>
                <w:sz w:val="22"/>
                <w:szCs w:val="22"/>
              </w:rPr>
              <w:t xml:space="preserve">  </w:t>
            </w:r>
            <w:r w:rsidR="00FD4A8D" w:rsidRPr="00E01614">
              <w:rPr>
                <w:sz w:val="22"/>
                <w:szCs w:val="22"/>
              </w:rPr>
              <w:t>N</w:t>
            </w:r>
            <w:r w:rsidR="00D67675" w:rsidRPr="00E01614">
              <w:rPr>
                <w:sz w:val="22"/>
                <w:szCs w:val="22"/>
              </w:rPr>
              <w:t>COM-</w:t>
            </w:r>
            <w:r w:rsidR="00AF34B4" w:rsidRPr="00E01614">
              <w:rPr>
                <w:sz w:val="22"/>
                <w:szCs w:val="22"/>
              </w:rPr>
              <w:t>xxx</w:t>
            </w:r>
            <w:r w:rsidR="00C91805" w:rsidRPr="00E01614">
              <w:rPr>
                <w:sz w:val="22"/>
                <w:szCs w:val="22"/>
              </w:rPr>
              <w:t xml:space="preserve"> </w:t>
            </w:r>
            <w:r w:rsidR="00E01614" w:rsidRPr="00E01614">
              <w:rPr>
                <w:sz w:val="22"/>
                <w:szCs w:val="22"/>
              </w:rPr>
              <w:t>Comm, S</w:t>
            </w:r>
            <w:r w:rsidR="007047CB" w:rsidRPr="00E01614">
              <w:rPr>
                <w:sz w:val="22"/>
                <w:szCs w:val="22"/>
              </w:rPr>
              <w:t>ocial, Global Awareness</w:t>
            </w:r>
            <w:r w:rsidR="00D528AB" w:rsidRPr="00E01614">
              <w:rPr>
                <w:sz w:val="22"/>
                <w:szCs w:val="22"/>
              </w:rPr>
              <w:t>**</w:t>
            </w:r>
            <w:r w:rsidRPr="00E01614">
              <w:rPr>
                <w:sz w:val="22"/>
                <w:szCs w:val="22"/>
              </w:rPr>
              <w:tab/>
              <w:t>3</w:t>
            </w:r>
          </w:p>
          <w:p w14:paraId="727707C6" w14:textId="77777777" w:rsidR="0056728D" w:rsidRPr="006B27D1" w:rsidRDefault="0056728D" w:rsidP="00945C5D">
            <w:pPr>
              <w:tabs>
                <w:tab w:val="left" w:pos="900"/>
                <w:tab w:val="decimal" w:pos="4626"/>
                <w:tab w:val="right" w:pos="4806"/>
              </w:tabs>
              <w:spacing w:after="40"/>
              <w:rPr>
                <w:sz w:val="22"/>
                <w:szCs w:val="22"/>
              </w:rPr>
            </w:pPr>
          </w:p>
          <w:p w14:paraId="5B72211A" w14:textId="77777777" w:rsidR="00945C5D" w:rsidRPr="006B27D1" w:rsidRDefault="00945C5D" w:rsidP="00A0259E">
            <w:pPr>
              <w:tabs>
                <w:tab w:val="left" w:pos="900"/>
                <w:tab w:val="decimal" w:pos="4626"/>
                <w:tab w:val="right" w:pos="4806"/>
              </w:tabs>
              <w:spacing w:after="40"/>
              <w:rPr>
                <w:sz w:val="22"/>
                <w:szCs w:val="22"/>
              </w:rPr>
            </w:pPr>
            <w:r w:rsidRPr="006B27D1">
              <w:rPr>
                <w:sz w:val="22"/>
                <w:szCs w:val="22"/>
              </w:rPr>
              <w:tab/>
            </w:r>
            <w:r w:rsidRPr="006B27D1">
              <w:rPr>
                <w:sz w:val="22"/>
                <w:szCs w:val="22"/>
              </w:rPr>
              <w:tab/>
              <w:t>1</w:t>
            </w:r>
            <w:r w:rsidR="00A0259E">
              <w:rPr>
                <w:sz w:val="22"/>
                <w:szCs w:val="22"/>
              </w:rPr>
              <w:t>5</w:t>
            </w:r>
          </w:p>
        </w:tc>
      </w:tr>
      <w:tr w:rsidR="00945C5D" w:rsidRPr="00144508" w14:paraId="023235C9" w14:textId="77777777" w:rsidTr="00945C5D">
        <w:tc>
          <w:tcPr>
            <w:tcW w:w="5004" w:type="dxa"/>
            <w:tcBorders>
              <w:top w:val="single" w:sz="4" w:space="0" w:color="auto"/>
              <w:left w:val="single" w:sz="4" w:space="0" w:color="auto"/>
              <w:bottom w:val="single" w:sz="4" w:space="0" w:color="auto"/>
              <w:right w:val="single" w:sz="4" w:space="0" w:color="auto"/>
            </w:tcBorders>
          </w:tcPr>
          <w:p w14:paraId="1CB93496" w14:textId="77777777" w:rsidR="00945C5D" w:rsidRPr="00A0259E" w:rsidRDefault="00945C5D" w:rsidP="00945C5D">
            <w:pPr>
              <w:tabs>
                <w:tab w:val="left" w:pos="4212"/>
                <w:tab w:val="left" w:pos="4482"/>
              </w:tabs>
              <w:spacing w:before="80" w:after="40"/>
              <w:ind w:right="-108"/>
              <w:rPr>
                <w:b/>
                <w:sz w:val="22"/>
                <w:szCs w:val="22"/>
              </w:rPr>
            </w:pPr>
            <w:r w:rsidRPr="00A0259E">
              <w:rPr>
                <w:b/>
                <w:sz w:val="22"/>
                <w:szCs w:val="22"/>
              </w:rPr>
              <w:t>Fall Semester (2nd year)</w:t>
            </w:r>
            <w:r w:rsidRPr="00A0259E">
              <w:rPr>
                <w:b/>
                <w:sz w:val="22"/>
                <w:szCs w:val="22"/>
              </w:rPr>
              <w:tab/>
              <w:t>Credits</w:t>
            </w:r>
          </w:p>
          <w:p w14:paraId="08232D8C"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w:t>
            </w:r>
            <w:r w:rsidR="00341D3D" w:rsidRPr="006B27D1">
              <w:rPr>
                <w:sz w:val="22"/>
                <w:szCs w:val="22"/>
              </w:rPr>
              <w:t>NENG-213 Career English II</w:t>
            </w:r>
            <w:r w:rsidRPr="006B27D1">
              <w:rPr>
                <w:sz w:val="22"/>
                <w:szCs w:val="22"/>
              </w:rPr>
              <w:tab/>
              <w:t>3</w:t>
            </w:r>
          </w:p>
          <w:p w14:paraId="4896F92C"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NB</w:t>
            </w:r>
            <w:r w:rsidR="00341D3D" w:rsidRPr="006B27D1">
              <w:rPr>
                <w:sz w:val="22"/>
                <w:szCs w:val="22"/>
              </w:rPr>
              <w:t>AC-</w:t>
            </w:r>
            <w:r w:rsidR="0009568D" w:rsidRPr="006B27D1">
              <w:rPr>
                <w:sz w:val="22"/>
                <w:szCs w:val="22"/>
              </w:rPr>
              <w:t>175</w:t>
            </w:r>
            <w:r w:rsidR="002325AB" w:rsidRPr="006B27D1">
              <w:rPr>
                <w:sz w:val="22"/>
                <w:szCs w:val="22"/>
              </w:rPr>
              <w:t xml:space="preserve"> </w:t>
            </w:r>
            <w:r w:rsidR="00713174" w:rsidRPr="006B27D1">
              <w:rPr>
                <w:sz w:val="22"/>
                <w:szCs w:val="22"/>
              </w:rPr>
              <w:t xml:space="preserve">Intermediate Baking &amp; Pastries </w:t>
            </w:r>
            <w:r w:rsidRPr="006B27D1">
              <w:rPr>
                <w:sz w:val="22"/>
                <w:szCs w:val="22"/>
              </w:rPr>
              <w:tab/>
              <w:t>3</w:t>
            </w:r>
          </w:p>
          <w:p w14:paraId="62E1F85B"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w:t>
            </w:r>
            <w:r w:rsidR="00BC4C78" w:rsidRPr="006B27D1">
              <w:rPr>
                <w:sz w:val="22"/>
                <w:szCs w:val="22"/>
              </w:rPr>
              <w:t>N</w:t>
            </w:r>
            <w:r w:rsidR="00341D3D" w:rsidRPr="006B27D1">
              <w:rPr>
                <w:sz w:val="22"/>
                <w:szCs w:val="22"/>
              </w:rPr>
              <w:t>BCA</w:t>
            </w:r>
            <w:r w:rsidR="00BC4C78" w:rsidRPr="006B27D1">
              <w:rPr>
                <w:sz w:val="22"/>
                <w:szCs w:val="22"/>
              </w:rPr>
              <w:t>-</w:t>
            </w:r>
            <w:r w:rsidR="0009568D" w:rsidRPr="006B27D1">
              <w:rPr>
                <w:sz w:val="22"/>
                <w:szCs w:val="22"/>
              </w:rPr>
              <w:t>180</w:t>
            </w:r>
            <w:r w:rsidR="00713174" w:rsidRPr="006B27D1">
              <w:rPr>
                <w:sz w:val="22"/>
                <w:szCs w:val="22"/>
              </w:rPr>
              <w:t xml:space="preserve"> </w:t>
            </w:r>
            <w:r w:rsidR="00622B15" w:rsidRPr="006B27D1">
              <w:rPr>
                <w:sz w:val="22"/>
                <w:szCs w:val="22"/>
              </w:rPr>
              <w:t xml:space="preserve">Intermediate </w:t>
            </w:r>
            <w:r w:rsidR="007528AD" w:rsidRPr="006B27D1">
              <w:rPr>
                <w:sz w:val="22"/>
                <w:szCs w:val="22"/>
              </w:rPr>
              <w:t>Food</w:t>
            </w:r>
            <w:r w:rsidR="00713174" w:rsidRPr="006B27D1">
              <w:rPr>
                <w:sz w:val="22"/>
                <w:szCs w:val="22"/>
              </w:rPr>
              <w:t xml:space="preserve"> </w:t>
            </w:r>
            <w:r w:rsidR="003F018B" w:rsidRPr="006B27D1">
              <w:rPr>
                <w:sz w:val="22"/>
                <w:szCs w:val="22"/>
              </w:rPr>
              <w:t>Prep</w:t>
            </w:r>
            <w:r w:rsidRPr="006B27D1">
              <w:rPr>
                <w:sz w:val="22"/>
                <w:szCs w:val="22"/>
              </w:rPr>
              <w:tab/>
              <w:t>3</w:t>
            </w:r>
          </w:p>
          <w:p w14:paraId="1201A011"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w:t>
            </w:r>
            <w:r w:rsidR="0009568D" w:rsidRPr="006B27D1">
              <w:rPr>
                <w:sz w:val="22"/>
                <w:szCs w:val="22"/>
              </w:rPr>
              <w:t>AST</w:t>
            </w:r>
            <w:r w:rsidRPr="006B27D1">
              <w:rPr>
                <w:sz w:val="22"/>
                <w:szCs w:val="22"/>
              </w:rPr>
              <w:t>-2</w:t>
            </w:r>
            <w:r w:rsidR="0009568D" w:rsidRPr="006B27D1">
              <w:rPr>
                <w:sz w:val="22"/>
                <w:szCs w:val="22"/>
              </w:rPr>
              <w:t>10 Essentials of Bus</w:t>
            </w:r>
            <w:r w:rsidR="00A0259E">
              <w:rPr>
                <w:sz w:val="22"/>
                <w:szCs w:val="22"/>
              </w:rPr>
              <w:t xml:space="preserve"> </w:t>
            </w:r>
            <w:r w:rsidR="0009568D" w:rsidRPr="006B27D1">
              <w:rPr>
                <w:sz w:val="22"/>
                <w:szCs w:val="22"/>
              </w:rPr>
              <w:t>Communication</w:t>
            </w:r>
            <w:r w:rsidRPr="006B27D1">
              <w:rPr>
                <w:sz w:val="22"/>
                <w:szCs w:val="22"/>
              </w:rPr>
              <w:tab/>
              <w:t>3</w:t>
            </w:r>
          </w:p>
          <w:p w14:paraId="636659F5" w14:textId="77777777" w:rsidR="00945C5D" w:rsidRPr="006B27D1" w:rsidRDefault="00945C5D" w:rsidP="00A0259E">
            <w:pPr>
              <w:tabs>
                <w:tab w:val="left" w:pos="900"/>
                <w:tab w:val="decimal" w:pos="4590"/>
              </w:tabs>
              <w:spacing w:after="40"/>
              <w:rPr>
                <w:sz w:val="22"/>
                <w:szCs w:val="22"/>
              </w:rPr>
            </w:pPr>
            <w:r w:rsidRPr="006B27D1">
              <w:rPr>
                <w:sz w:val="22"/>
                <w:szCs w:val="22"/>
              </w:rPr>
              <w:tab/>
            </w:r>
            <w:r w:rsidRPr="006B27D1">
              <w:rPr>
                <w:sz w:val="22"/>
                <w:szCs w:val="22"/>
              </w:rPr>
              <w:tab/>
              <w:t>1</w:t>
            </w:r>
            <w:r w:rsidR="00A0259E">
              <w:rPr>
                <w:sz w:val="22"/>
                <w:szCs w:val="22"/>
              </w:rPr>
              <w:t>2</w:t>
            </w:r>
          </w:p>
        </w:tc>
        <w:tc>
          <w:tcPr>
            <w:tcW w:w="5004" w:type="dxa"/>
            <w:tcBorders>
              <w:top w:val="single" w:sz="4" w:space="0" w:color="auto"/>
              <w:left w:val="single" w:sz="4" w:space="0" w:color="auto"/>
              <w:bottom w:val="single" w:sz="4" w:space="0" w:color="auto"/>
              <w:right w:val="single" w:sz="4" w:space="0" w:color="auto"/>
            </w:tcBorders>
          </w:tcPr>
          <w:p w14:paraId="6895E52B" w14:textId="77777777" w:rsidR="00945C5D" w:rsidRPr="00A0259E" w:rsidRDefault="00945C5D" w:rsidP="00945C5D">
            <w:pPr>
              <w:tabs>
                <w:tab w:val="right" w:pos="4806"/>
              </w:tabs>
              <w:spacing w:before="80" w:after="40"/>
              <w:ind w:right="-108"/>
              <w:rPr>
                <w:b/>
                <w:sz w:val="22"/>
                <w:szCs w:val="22"/>
              </w:rPr>
            </w:pPr>
            <w:r w:rsidRPr="00A0259E">
              <w:rPr>
                <w:b/>
                <w:sz w:val="22"/>
                <w:szCs w:val="22"/>
              </w:rPr>
              <w:t>Spring Semester (2nd year)</w:t>
            </w:r>
            <w:r w:rsidRPr="00A0259E">
              <w:rPr>
                <w:b/>
                <w:sz w:val="22"/>
                <w:szCs w:val="22"/>
              </w:rPr>
              <w:tab/>
              <w:t>Credits</w:t>
            </w:r>
          </w:p>
          <w:p w14:paraId="5985824E" w14:textId="77777777" w:rsidR="00945C5D" w:rsidRPr="006B27D1"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w:t>
            </w:r>
            <w:r w:rsidR="003C16E3" w:rsidRPr="006B27D1">
              <w:rPr>
                <w:sz w:val="22"/>
                <w:szCs w:val="22"/>
              </w:rPr>
              <w:t xml:space="preserve"> NB</w:t>
            </w:r>
            <w:r w:rsidR="00C91805" w:rsidRPr="006B27D1">
              <w:rPr>
                <w:sz w:val="22"/>
                <w:szCs w:val="22"/>
              </w:rPr>
              <w:t>CA</w:t>
            </w:r>
            <w:r w:rsidR="003C16E3" w:rsidRPr="006B27D1">
              <w:rPr>
                <w:sz w:val="22"/>
                <w:szCs w:val="22"/>
              </w:rPr>
              <w:t>-</w:t>
            </w:r>
            <w:r w:rsidR="00C91805" w:rsidRPr="006B27D1">
              <w:rPr>
                <w:sz w:val="22"/>
                <w:szCs w:val="22"/>
              </w:rPr>
              <w:t>190</w:t>
            </w:r>
            <w:r w:rsidR="003C16E3" w:rsidRPr="006B27D1">
              <w:rPr>
                <w:sz w:val="22"/>
                <w:szCs w:val="22"/>
              </w:rPr>
              <w:t xml:space="preserve"> </w:t>
            </w:r>
            <w:r w:rsidR="00C91805" w:rsidRPr="002E5B25">
              <w:rPr>
                <w:sz w:val="22"/>
                <w:szCs w:val="22"/>
              </w:rPr>
              <w:t>Hospitality Marketing</w:t>
            </w:r>
            <w:r w:rsidRPr="006B27D1">
              <w:rPr>
                <w:sz w:val="22"/>
                <w:szCs w:val="22"/>
              </w:rPr>
              <w:tab/>
              <w:t>3</w:t>
            </w:r>
          </w:p>
          <w:p w14:paraId="71E4C273" w14:textId="77777777" w:rsidR="00945C5D" w:rsidRPr="006B27D1"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w:t>
            </w:r>
            <w:r w:rsidR="009C73FC" w:rsidRPr="006B27D1">
              <w:rPr>
                <w:sz w:val="22"/>
                <w:szCs w:val="22"/>
              </w:rPr>
              <w:t>N</w:t>
            </w:r>
            <w:r w:rsidR="0009568D" w:rsidRPr="006B27D1">
              <w:rPr>
                <w:sz w:val="22"/>
                <w:szCs w:val="22"/>
              </w:rPr>
              <w:t>BCA-1</w:t>
            </w:r>
            <w:r w:rsidR="00622B15" w:rsidRPr="006B27D1">
              <w:rPr>
                <w:sz w:val="22"/>
                <w:szCs w:val="22"/>
              </w:rPr>
              <w:t>9</w:t>
            </w:r>
            <w:r w:rsidR="00C91805" w:rsidRPr="006B27D1">
              <w:rPr>
                <w:sz w:val="22"/>
                <w:szCs w:val="22"/>
              </w:rPr>
              <w:t>5</w:t>
            </w:r>
            <w:r w:rsidR="00622B15" w:rsidRPr="006B27D1">
              <w:rPr>
                <w:sz w:val="22"/>
                <w:szCs w:val="22"/>
              </w:rPr>
              <w:t xml:space="preserve"> Advanced Food Prep </w:t>
            </w:r>
            <w:r w:rsidR="0009568D" w:rsidRPr="006B27D1">
              <w:rPr>
                <w:sz w:val="22"/>
                <w:szCs w:val="22"/>
              </w:rPr>
              <w:tab/>
            </w:r>
            <w:r w:rsidRPr="006B27D1">
              <w:rPr>
                <w:sz w:val="22"/>
                <w:szCs w:val="22"/>
              </w:rPr>
              <w:t>3</w:t>
            </w:r>
          </w:p>
          <w:p w14:paraId="7004A6FE" w14:textId="77777777" w:rsidR="00945C5D" w:rsidRPr="002E5B25" w:rsidRDefault="00A0259E" w:rsidP="00A0259E">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NBCA-</w:t>
            </w:r>
            <w:r w:rsidRPr="002E5B25">
              <w:rPr>
                <w:sz w:val="22"/>
                <w:szCs w:val="22"/>
              </w:rPr>
              <w:t>185 Menu Develop &amp; Culinary Purchas</w:t>
            </w:r>
            <w:r w:rsidR="00330CB6" w:rsidRPr="002E5B25">
              <w:rPr>
                <w:sz w:val="22"/>
                <w:szCs w:val="22"/>
              </w:rPr>
              <w:t>e</w:t>
            </w:r>
            <w:r w:rsidRPr="002E5B25">
              <w:rPr>
                <w:sz w:val="22"/>
                <w:szCs w:val="22"/>
              </w:rPr>
              <w:tab/>
              <w:t>3</w:t>
            </w:r>
          </w:p>
          <w:p w14:paraId="7D8749CB" w14:textId="77777777" w:rsidR="00945C5D" w:rsidRPr="006B27D1" w:rsidRDefault="00945C5D" w:rsidP="00945C5D">
            <w:pPr>
              <w:tabs>
                <w:tab w:val="left" w:pos="900"/>
                <w:tab w:val="decimal" w:pos="4626"/>
                <w:tab w:val="right" w:pos="4806"/>
              </w:tabs>
              <w:spacing w:after="40"/>
              <w:rPr>
                <w:sz w:val="22"/>
                <w:szCs w:val="22"/>
              </w:rPr>
            </w:pPr>
            <w:r w:rsidRPr="002E5B25">
              <w:rPr>
                <w:sz w:val="22"/>
                <w:szCs w:val="22"/>
              </w:rPr>
              <w:sym w:font="Symbol" w:char="F0F0"/>
            </w:r>
            <w:r w:rsidRPr="002E5B25">
              <w:rPr>
                <w:sz w:val="22"/>
                <w:szCs w:val="22"/>
              </w:rPr>
              <w:t xml:space="preserve">  NB</w:t>
            </w:r>
            <w:r w:rsidR="00633817" w:rsidRPr="002E5B25">
              <w:rPr>
                <w:sz w:val="22"/>
                <w:szCs w:val="22"/>
              </w:rPr>
              <w:t>CA</w:t>
            </w:r>
            <w:r w:rsidRPr="002E5B25">
              <w:rPr>
                <w:sz w:val="22"/>
                <w:szCs w:val="22"/>
              </w:rPr>
              <w:t>-2</w:t>
            </w:r>
            <w:r w:rsidR="007528AD" w:rsidRPr="002E5B25">
              <w:rPr>
                <w:sz w:val="22"/>
                <w:szCs w:val="22"/>
              </w:rPr>
              <w:t>10 Hospitality and Customer Service</w:t>
            </w:r>
            <w:r w:rsidRPr="006B27D1">
              <w:rPr>
                <w:sz w:val="22"/>
                <w:szCs w:val="22"/>
              </w:rPr>
              <w:tab/>
              <w:t>3</w:t>
            </w:r>
          </w:p>
          <w:p w14:paraId="4A26E3C3" w14:textId="77777777" w:rsidR="00945C5D" w:rsidRPr="006B27D1" w:rsidRDefault="00945C5D" w:rsidP="00945C5D">
            <w:pPr>
              <w:tabs>
                <w:tab w:val="left" w:pos="900"/>
                <w:tab w:val="decimal" w:pos="4626"/>
                <w:tab w:val="right" w:pos="4806"/>
              </w:tabs>
              <w:spacing w:after="40"/>
              <w:rPr>
                <w:sz w:val="22"/>
                <w:szCs w:val="22"/>
              </w:rPr>
            </w:pPr>
            <w:r w:rsidRPr="006B27D1">
              <w:rPr>
                <w:sz w:val="22"/>
                <w:szCs w:val="22"/>
              </w:rPr>
              <w:sym w:font="Symbol" w:char="F0F0"/>
            </w:r>
            <w:r w:rsidRPr="006B27D1">
              <w:rPr>
                <w:sz w:val="22"/>
                <w:szCs w:val="22"/>
              </w:rPr>
              <w:t xml:space="preserve">  Wellness Education</w:t>
            </w:r>
            <w:r w:rsidRPr="006B27D1">
              <w:rPr>
                <w:sz w:val="22"/>
                <w:szCs w:val="22"/>
              </w:rPr>
              <w:tab/>
              <w:t>0</w:t>
            </w:r>
          </w:p>
          <w:p w14:paraId="50FC82C9" w14:textId="77777777" w:rsidR="00945C5D" w:rsidRPr="006B27D1" w:rsidRDefault="00945C5D" w:rsidP="00A0259E">
            <w:pPr>
              <w:tabs>
                <w:tab w:val="decimal" w:pos="4626"/>
                <w:tab w:val="right" w:pos="4806"/>
              </w:tabs>
              <w:spacing w:before="80" w:after="40"/>
              <w:ind w:right="-108"/>
              <w:rPr>
                <w:sz w:val="22"/>
                <w:szCs w:val="22"/>
              </w:rPr>
            </w:pPr>
            <w:r w:rsidRPr="006B27D1">
              <w:rPr>
                <w:sz w:val="22"/>
                <w:szCs w:val="22"/>
              </w:rPr>
              <w:tab/>
              <w:t>1</w:t>
            </w:r>
            <w:r w:rsidR="00A0259E">
              <w:rPr>
                <w:sz w:val="22"/>
                <w:szCs w:val="22"/>
              </w:rPr>
              <w:t>2</w:t>
            </w:r>
          </w:p>
        </w:tc>
      </w:tr>
      <w:tr w:rsidR="00945C5D" w:rsidRPr="00144508" w14:paraId="600C39E7" w14:textId="77777777" w:rsidTr="00945C5D">
        <w:tc>
          <w:tcPr>
            <w:tcW w:w="5004" w:type="dxa"/>
            <w:tcBorders>
              <w:top w:val="single" w:sz="4" w:space="0" w:color="auto"/>
              <w:left w:val="single" w:sz="4" w:space="0" w:color="auto"/>
              <w:bottom w:val="single" w:sz="4" w:space="0" w:color="auto"/>
              <w:right w:val="single" w:sz="4" w:space="0" w:color="auto"/>
            </w:tcBorders>
          </w:tcPr>
          <w:p w14:paraId="5B460E8C" w14:textId="77777777" w:rsidR="00945C5D" w:rsidRPr="00A0259E" w:rsidRDefault="00945C5D" w:rsidP="00945C5D">
            <w:pPr>
              <w:tabs>
                <w:tab w:val="left" w:pos="4212"/>
                <w:tab w:val="left" w:pos="4482"/>
              </w:tabs>
              <w:spacing w:before="80" w:after="40"/>
              <w:ind w:right="-108"/>
              <w:rPr>
                <w:b/>
                <w:sz w:val="22"/>
                <w:szCs w:val="22"/>
              </w:rPr>
            </w:pPr>
            <w:r w:rsidRPr="00A0259E">
              <w:rPr>
                <w:b/>
                <w:sz w:val="22"/>
                <w:szCs w:val="22"/>
              </w:rPr>
              <w:t>Fall Semester (</w:t>
            </w:r>
            <w:r w:rsidR="0065683A" w:rsidRPr="00A0259E">
              <w:rPr>
                <w:b/>
                <w:sz w:val="22"/>
                <w:szCs w:val="22"/>
              </w:rPr>
              <w:t xml:space="preserve">3rd </w:t>
            </w:r>
            <w:r w:rsidRPr="00A0259E">
              <w:rPr>
                <w:b/>
                <w:sz w:val="22"/>
                <w:szCs w:val="22"/>
              </w:rPr>
              <w:t>year)</w:t>
            </w:r>
            <w:r w:rsidRPr="00A0259E">
              <w:rPr>
                <w:b/>
                <w:sz w:val="22"/>
                <w:szCs w:val="22"/>
              </w:rPr>
              <w:tab/>
              <w:t>Credits</w:t>
            </w:r>
          </w:p>
          <w:p w14:paraId="29A90959" w14:textId="77777777" w:rsidR="00945C5D" w:rsidRPr="002E5B25"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w:t>
            </w:r>
            <w:r w:rsidR="001B7C18" w:rsidRPr="006B27D1">
              <w:rPr>
                <w:sz w:val="22"/>
                <w:szCs w:val="22"/>
              </w:rPr>
              <w:t>NB</w:t>
            </w:r>
            <w:r w:rsidR="00512994" w:rsidRPr="006B27D1">
              <w:rPr>
                <w:sz w:val="22"/>
                <w:szCs w:val="22"/>
              </w:rPr>
              <w:t>US</w:t>
            </w:r>
            <w:r w:rsidR="001B7C18" w:rsidRPr="002E5B25">
              <w:rPr>
                <w:sz w:val="22"/>
                <w:szCs w:val="22"/>
              </w:rPr>
              <w:t>-22</w:t>
            </w:r>
            <w:r w:rsidR="00512994" w:rsidRPr="002E5B25">
              <w:rPr>
                <w:sz w:val="22"/>
                <w:szCs w:val="22"/>
              </w:rPr>
              <w:t>1</w:t>
            </w:r>
            <w:r w:rsidR="002E5B25">
              <w:rPr>
                <w:sz w:val="22"/>
                <w:szCs w:val="22"/>
              </w:rPr>
              <w:t xml:space="preserve"> </w:t>
            </w:r>
            <w:r w:rsidR="00512994" w:rsidRPr="002E5B25">
              <w:rPr>
                <w:sz w:val="22"/>
                <w:szCs w:val="22"/>
              </w:rPr>
              <w:t>Essentials of HR Management</w:t>
            </w:r>
            <w:r w:rsidR="00951B88" w:rsidRPr="002E5B25">
              <w:rPr>
                <w:sz w:val="22"/>
                <w:szCs w:val="22"/>
              </w:rPr>
              <w:tab/>
            </w:r>
            <w:r w:rsidRPr="002E5B25">
              <w:rPr>
                <w:sz w:val="22"/>
                <w:szCs w:val="22"/>
              </w:rPr>
              <w:t>3</w:t>
            </w:r>
          </w:p>
          <w:p w14:paraId="54D868CF" w14:textId="77777777" w:rsidR="00945C5D" w:rsidRPr="006B27D1" w:rsidRDefault="00945C5D" w:rsidP="00945C5D">
            <w:pPr>
              <w:tabs>
                <w:tab w:val="left" w:pos="900"/>
                <w:tab w:val="left" w:pos="4482"/>
                <w:tab w:val="decimal" w:pos="4662"/>
              </w:tabs>
              <w:spacing w:after="40"/>
              <w:rPr>
                <w:sz w:val="22"/>
                <w:szCs w:val="22"/>
              </w:rPr>
            </w:pPr>
            <w:r w:rsidRPr="002E5B25">
              <w:rPr>
                <w:sz w:val="22"/>
                <w:szCs w:val="22"/>
              </w:rPr>
              <w:sym w:font="Symbol" w:char="F0F0"/>
            </w:r>
            <w:r w:rsidRPr="002E5B25">
              <w:rPr>
                <w:sz w:val="22"/>
                <w:szCs w:val="22"/>
              </w:rPr>
              <w:t xml:space="preserve">  </w:t>
            </w:r>
            <w:r w:rsidR="00633817" w:rsidRPr="002E5B25">
              <w:rPr>
                <w:sz w:val="22"/>
                <w:szCs w:val="22"/>
              </w:rPr>
              <w:t>NB</w:t>
            </w:r>
            <w:r w:rsidR="00A4102B" w:rsidRPr="002E5B25">
              <w:rPr>
                <w:sz w:val="22"/>
                <w:szCs w:val="22"/>
              </w:rPr>
              <w:t>CA-22</w:t>
            </w:r>
            <w:r w:rsidR="001B7C18" w:rsidRPr="002E5B25">
              <w:rPr>
                <w:sz w:val="22"/>
                <w:szCs w:val="22"/>
              </w:rPr>
              <w:t>5</w:t>
            </w:r>
            <w:r w:rsidR="00A4102B" w:rsidRPr="002E5B25">
              <w:rPr>
                <w:sz w:val="22"/>
                <w:szCs w:val="22"/>
              </w:rPr>
              <w:t xml:space="preserve"> </w:t>
            </w:r>
            <w:r w:rsidR="00B55C85" w:rsidRPr="002E5B25">
              <w:rPr>
                <w:sz w:val="22"/>
                <w:szCs w:val="22"/>
              </w:rPr>
              <w:t>Catering</w:t>
            </w:r>
            <w:r w:rsidR="00A4102B" w:rsidRPr="002E5B25">
              <w:rPr>
                <w:sz w:val="22"/>
                <w:szCs w:val="22"/>
              </w:rPr>
              <w:t xml:space="preserve"> Management</w:t>
            </w:r>
            <w:r w:rsidR="00951B88" w:rsidRPr="006B27D1">
              <w:rPr>
                <w:sz w:val="22"/>
                <w:szCs w:val="22"/>
              </w:rPr>
              <w:tab/>
            </w:r>
            <w:r w:rsidRPr="006B27D1">
              <w:rPr>
                <w:sz w:val="22"/>
                <w:szCs w:val="22"/>
              </w:rPr>
              <w:t>3</w:t>
            </w:r>
          </w:p>
          <w:p w14:paraId="0D39A000"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w:t>
            </w:r>
            <w:r w:rsidR="009C73FC" w:rsidRPr="006B27D1">
              <w:rPr>
                <w:sz w:val="22"/>
                <w:szCs w:val="22"/>
              </w:rPr>
              <w:t>NB</w:t>
            </w:r>
            <w:r w:rsidR="00633817" w:rsidRPr="006B27D1">
              <w:rPr>
                <w:sz w:val="22"/>
                <w:szCs w:val="22"/>
              </w:rPr>
              <w:t>CA</w:t>
            </w:r>
            <w:r w:rsidR="009C73FC" w:rsidRPr="006B27D1">
              <w:rPr>
                <w:sz w:val="22"/>
                <w:szCs w:val="22"/>
              </w:rPr>
              <w:t>-2</w:t>
            </w:r>
            <w:r w:rsidR="00633817" w:rsidRPr="006B27D1">
              <w:rPr>
                <w:sz w:val="22"/>
                <w:szCs w:val="22"/>
              </w:rPr>
              <w:t>30</w:t>
            </w:r>
            <w:r w:rsidR="00622B15" w:rsidRPr="006B27D1">
              <w:rPr>
                <w:sz w:val="22"/>
                <w:szCs w:val="22"/>
              </w:rPr>
              <w:t xml:space="preserve"> American</w:t>
            </w:r>
            <w:r w:rsidR="00A0259E">
              <w:rPr>
                <w:sz w:val="22"/>
                <w:szCs w:val="22"/>
              </w:rPr>
              <w:t>/International</w:t>
            </w:r>
            <w:r w:rsidR="00622B15" w:rsidRPr="006B27D1">
              <w:rPr>
                <w:sz w:val="22"/>
                <w:szCs w:val="22"/>
              </w:rPr>
              <w:t xml:space="preserve"> Cuisine</w:t>
            </w:r>
            <w:r w:rsidRPr="006B27D1">
              <w:rPr>
                <w:sz w:val="22"/>
                <w:szCs w:val="22"/>
              </w:rPr>
              <w:tab/>
              <w:t>3</w:t>
            </w:r>
          </w:p>
          <w:p w14:paraId="76BBC875" w14:textId="77777777" w:rsidR="00945C5D" w:rsidRPr="006B27D1" w:rsidRDefault="00945C5D" w:rsidP="00945C5D">
            <w:pPr>
              <w:tabs>
                <w:tab w:val="left" w:pos="900"/>
                <w:tab w:val="left" w:pos="4482"/>
                <w:tab w:val="decimal" w:pos="4662"/>
              </w:tabs>
              <w:spacing w:after="40"/>
              <w:rPr>
                <w:sz w:val="22"/>
                <w:szCs w:val="22"/>
              </w:rPr>
            </w:pPr>
            <w:r w:rsidRPr="006B27D1">
              <w:rPr>
                <w:sz w:val="22"/>
                <w:szCs w:val="22"/>
              </w:rPr>
              <w:sym w:font="Symbol" w:char="F0F0"/>
            </w:r>
            <w:r w:rsidRPr="006B27D1">
              <w:rPr>
                <w:sz w:val="22"/>
                <w:szCs w:val="22"/>
              </w:rPr>
              <w:t xml:space="preserve">   Open Elective </w:t>
            </w:r>
            <w:r w:rsidRPr="006B27D1">
              <w:rPr>
                <w:sz w:val="22"/>
                <w:szCs w:val="22"/>
              </w:rPr>
              <w:tab/>
              <w:t>3</w:t>
            </w:r>
          </w:p>
          <w:p w14:paraId="1D063401" w14:textId="77777777" w:rsidR="00945C5D" w:rsidRPr="006B27D1" w:rsidRDefault="00945C5D" w:rsidP="00A0259E">
            <w:pPr>
              <w:rPr>
                <w:sz w:val="22"/>
                <w:szCs w:val="22"/>
              </w:rPr>
            </w:pPr>
            <w:r w:rsidRPr="006B27D1">
              <w:rPr>
                <w:sz w:val="22"/>
                <w:szCs w:val="22"/>
              </w:rPr>
              <w:tab/>
            </w:r>
            <w:r w:rsidRPr="006B27D1">
              <w:rPr>
                <w:sz w:val="22"/>
                <w:szCs w:val="22"/>
              </w:rPr>
              <w:tab/>
            </w:r>
            <w:r w:rsidRPr="006B27D1">
              <w:rPr>
                <w:sz w:val="22"/>
                <w:szCs w:val="22"/>
              </w:rPr>
              <w:tab/>
            </w:r>
            <w:r w:rsidRPr="006B27D1">
              <w:rPr>
                <w:sz w:val="22"/>
                <w:szCs w:val="22"/>
              </w:rPr>
              <w:tab/>
            </w:r>
            <w:r w:rsidRPr="006B27D1">
              <w:rPr>
                <w:sz w:val="22"/>
                <w:szCs w:val="22"/>
              </w:rPr>
              <w:tab/>
            </w:r>
            <w:r w:rsidRPr="006B27D1">
              <w:rPr>
                <w:sz w:val="22"/>
                <w:szCs w:val="22"/>
              </w:rPr>
              <w:tab/>
              <w:t xml:space="preserve"> 1</w:t>
            </w:r>
            <w:r w:rsidR="00A0259E">
              <w:rPr>
                <w:sz w:val="22"/>
                <w:szCs w:val="22"/>
              </w:rPr>
              <w:t>2</w:t>
            </w:r>
          </w:p>
        </w:tc>
        <w:tc>
          <w:tcPr>
            <w:tcW w:w="5004" w:type="dxa"/>
            <w:tcBorders>
              <w:top w:val="single" w:sz="4" w:space="0" w:color="auto"/>
              <w:left w:val="single" w:sz="4" w:space="0" w:color="auto"/>
            </w:tcBorders>
          </w:tcPr>
          <w:p w14:paraId="1205DBD0" w14:textId="77777777" w:rsidR="00945C5D" w:rsidRPr="00E01614" w:rsidRDefault="00945C5D" w:rsidP="00945C5D">
            <w:pPr>
              <w:tabs>
                <w:tab w:val="decimal" w:pos="4533"/>
                <w:tab w:val="right" w:pos="4662"/>
              </w:tabs>
              <w:spacing w:before="80" w:after="40"/>
              <w:ind w:right="-108"/>
              <w:rPr>
                <w:sz w:val="22"/>
                <w:szCs w:val="22"/>
              </w:rPr>
            </w:pPr>
            <w:r w:rsidRPr="00E01614">
              <w:rPr>
                <w:sz w:val="22"/>
                <w:szCs w:val="22"/>
              </w:rPr>
              <w:t>A summer co-op work experience is required between the fourth and fifth semester.</w:t>
            </w:r>
          </w:p>
          <w:p w14:paraId="05CE7F0D" w14:textId="77777777" w:rsidR="00945C5D" w:rsidRPr="00E01614" w:rsidRDefault="00D528AB" w:rsidP="00D528AB">
            <w:pPr>
              <w:rPr>
                <w:sz w:val="22"/>
                <w:szCs w:val="22"/>
              </w:rPr>
            </w:pPr>
            <w:r w:rsidRPr="00E01614">
              <w:rPr>
                <w:sz w:val="22"/>
                <w:szCs w:val="22"/>
              </w:rPr>
              <w:t xml:space="preserve">NTID Perspective Categories: </w:t>
            </w:r>
            <w:r w:rsidRPr="00E01614">
              <w:rPr>
                <w:sz w:val="22"/>
                <w:szCs w:val="22"/>
              </w:rPr>
              <w:br/>
              <w:t xml:space="preserve">   ASL/Deaf Cultural Studies*</w:t>
            </w:r>
            <w:r w:rsidRPr="00E01614">
              <w:rPr>
                <w:sz w:val="22"/>
                <w:szCs w:val="22"/>
              </w:rPr>
              <w:br/>
              <w:t xml:space="preserve">   Comm, Social, Global Awareness**</w:t>
            </w:r>
          </w:p>
          <w:p w14:paraId="5DECC9F2" w14:textId="2DEA30BE" w:rsidR="00945C5D" w:rsidRPr="00E01614" w:rsidRDefault="00E01614" w:rsidP="00E01614">
            <w:pPr>
              <w:ind w:firstLine="286"/>
              <w:rPr>
                <w:sz w:val="22"/>
                <w:szCs w:val="22"/>
              </w:rPr>
            </w:pPr>
            <w:r>
              <w:rPr>
                <w:sz w:val="22"/>
                <w:szCs w:val="22"/>
              </w:rPr>
              <w:t xml:space="preserve"> </w:t>
            </w:r>
            <w:r w:rsidRPr="00E01614">
              <w:rPr>
                <w:sz w:val="22"/>
                <w:szCs w:val="22"/>
              </w:rPr>
              <w:t xml:space="preserve">NCOM-207 </w:t>
            </w:r>
            <w:r w:rsidR="00ED0B07" w:rsidRPr="00E01614">
              <w:rPr>
                <w:sz w:val="22"/>
                <w:szCs w:val="22"/>
              </w:rPr>
              <w:t>Org. Comm &amp; Deaf Employee</w:t>
            </w:r>
            <w:r w:rsidR="00ED0B07" w:rsidRPr="00E01614">
              <w:rPr>
                <w:sz w:val="22"/>
                <w:szCs w:val="22"/>
              </w:rPr>
              <w:br/>
              <w:t xml:space="preserve">      </w:t>
            </w:r>
            <w:r w:rsidRPr="00E01614">
              <w:rPr>
                <w:sz w:val="22"/>
                <w:szCs w:val="22"/>
              </w:rPr>
              <w:t xml:space="preserve"> NCOM-202 </w:t>
            </w:r>
            <w:r w:rsidR="00ED0B07" w:rsidRPr="00E01614">
              <w:rPr>
                <w:sz w:val="22"/>
                <w:szCs w:val="22"/>
              </w:rPr>
              <w:t>Communication</w:t>
            </w:r>
            <w:r w:rsidRPr="00E01614">
              <w:rPr>
                <w:sz w:val="22"/>
                <w:szCs w:val="22"/>
              </w:rPr>
              <w:t xml:space="preserve"> Across Cultures</w:t>
            </w:r>
            <w:r w:rsidR="00ED0B07" w:rsidRPr="00E01614">
              <w:rPr>
                <w:sz w:val="22"/>
                <w:szCs w:val="22"/>
              </w:rPr>
              <w:t xml:space="preserve"> </w:t>
            </w:r>
            <w:r w:rsidR="00ED0B07" w:rsidRPr="00E01614">
              <w:rPr>
                <w:sz w:val="22"/>
                <w:szCs w:val="22"/>
              </w:rPr>
              <w:br/>
              <w:t xml:space="preserve">      </w:t>
            </w:r>
            <w:r w:rsidRPr="00E01614">
              <w:rPr>
                <w:sz w:val="22"/>
                <w:szCs w:val="22"/>
              </w:rPr>
              <w:t xml:space="preserve"> NCOM-206 Effective Teams</w:t>
            </w:r>
            <w:r w:rsidR="00ED0B07" w:rsidRPr="00E01614">
              <w:rPr>
                <w:sz w:val="22"/>
                <w:szCs w:val="22"/>
              </w:rPr>
              <w:br/>
              <w:t xml:space="preserve">      </w:t>
            </w:r>
            <w:r w:rsidRPr="00E01614">
              <w:rPr>
                <w:sz w:val="22"/>
                <w:szCs w:val="22"/>
              </w:rPr>
              <w:t xml:space="preserve"> NCOM-201 </w:t>
            </w:r>
            <w:r w:rsidR="00ED0B07" w:rsidRPr="00E01614">
              <w:rPr>
                <w:sz w:val="22"/>
                <w:szCs w:val="22"/>
              </w:rPr>
              <w:t>Interpersonal Relationships</w:t>
            </w:r>
          </w:p>
        </w:tc>
      </w:tr>
    </w:tbl>
    <w:p w14:paraId="50164FD3" w14:textId="77777777" w:rsidR="0065683A" w:rsidRPr="00A0259E" w:rsidRDefault="00A0259E" w:rsidP="00894CE9">
      <w:pPr>
        <w:spacing w:before="100" w:beforeAutospacing="1" w:after="240"/>
        <w:rPr>
          <w:b/>
        </w:rPr>
      </w:pPr>
      <w:r w:rsidRPr="00A0259E">
        <w:rPr>
          <w:b/>
        </w:rPr>
        <w:t>Total Credits: 64</w:t>
      </w:r>
    </w:p>
    <w:p w14:paraId="030123A1" w14:textId="77777777" w:rsidR="00A85594" w:rsidRDefault="00A85594">
      <w:pPr>
        <w:spacing w:after="160" w:line="259" w:lineRule="auto"/>
      </w:pPr>
      <w:r>
        <w:br w:type="page"/>
      </w:r>
    </w:p>
    <w:p w14:paraId="5DC08006" w14:textId="77777777" w:rsidR="008A6DCC" w:rsidRPr="007F1468" w:rsidRDefault="008A6DCC" w:rsidP="00A85594">
      <w:pPr>
        <w:spacing w:before="100" w:beforeAutospacing="1"/>
        <w:rPr>
          <w:b/>
        </w:rPr>
      </w:pPr>
      <w:r w:rsidRPr="007F1468">
        <w:rPr>
          <w:b/>
          <w:color w:val="8496B0" w:themeColor="text2" w:themeTint="99"/>
        </w:rPr>
        <w:lastRenderedPageBreak/>
        <w:t>IV. Fit with RIT Academic Portfolio Blueprint Characteristics and Criteria</w:t>
      </w:r>
      <w:r w:rsidR="00D224D2" w:rsidRPr="007F1468">
        <w:rPr>
          <w:b/>
        </w:rPr>
        <w:t xml:space="preserve"> </w:t>
      </w:r>
    </w:p>
    <w:p w14:paraId="3CFC4A49" w14:textId="77777777" w:rsidR="007B3235" w:rsidRPr="00F8548D" w:rsidRDefault="007B3235" w:rsidP="007B3235">
      <w:pPr>
        <w:ind w:left="720" w:right="386"/>
        <w:rPr>
          <w:b/>
          <w:sz w:val="22"/>
          <w:szCs w:val="22"/>
        </w:rPr>
      </w:pPr>
      <w:r w:rsidRPr="00F8548D">
        <w:rPr>
          <w:b/>
          <w:sz w:val="22"/>
          <w:szCs w:val="22"/>
        </w:rPr>
        <w:t>Characteristics:</w:t>
      </w:r>
    </w:p>
    <w:p w14:paraId="35BAB6C6" w14:textId="77777777" w:rsidR="007B3235" w:rsidRDefault="007B3235" w:rsidP="00C90828">
      <w:pPr>
        <w:pStyle w:val="ListParagraph"/>
        <w:numPr>
          <w:ilvl w:val="0"/>
          <w:numId w:val="3"/>
        </w:numPr>
        <w:spacing w:after="240" w:line="240" w:lineRule="auto"/>
        <w:ind w:left="1170" w:right="386" w:hanging="270"/>
        <w:rPr>
          <w:b/>
        </w:rPr>
      </w:pPr>
      <w:r w:rsidRPr="009B1DE3">
        <w:rPr>
          <w:b/>
        </w:rPr>
        <w:t>Innovative Teaching and Learning:</w:t>
      </w:r>
    </w:p>
    <w:p w14:paraId="5702A51E" w14:textId="77777777" w:rsidR="007B3235" w:rsidRPr="00E074A5" w:rsidRDefault="007B3235" w:rsidP="00C90828">
      <w:pPr>
        <w:pStyle w:val="ListParagraph"/>
        <w:spacing w:after="240" w:line="240" w:lineRule="auto"/>
        <w:ind w:left="1170" w:right="386"/>
      </w:pPr>
      <w:r>
        <w:t xml:space="preserve">Much of the instruction in this program will be interactive and will include the use </w:t>
      </w:r>
      <w:r w:rsidR="00790577">
        <w:t>state-of-the-art</w:t>
      </w:r>
      <w:r w:rsidR="00685B2E">
        <w:t>s</w:t>
      </w:r>
      <w:r w:rsidR="00790577">
        <w:t xml:space="preserve"> culinary equipment</w:t>
      </w:r>
      <w:r w:rsidR="00685B2E">
        <w:t xml:space="preserve">. </w:t>
      </w:r>
      <w:r w:rsidR="00685B2E" w:rsidRPr="00A70999">
        <w:rPr>
          <w:rStyle w:val="articlecontent"/>
          <w:rFonts w:eastAsiaTheme="minorEastAsia"/>
          <w:lang w:eastAsia="ja-JP"/>
        </w:rPr>
        <w:t xml:space="preserve">Students </w:t>
      </w:r>
      <w:r w:rsidR="00685B2E">
        <w:rPr>
          <w:rStyle w:val="articlecontent"/>
          <w:rFonts w:eastAsiaTheme="minorEastAsia"/>
          <w:lang w:eastAsia="ja-JP"/>
        </w:rPr>
        <w:t>will be</w:t>
      </w:r>
      <w:r w:rsidR="00685B2E" w:rsidRPr="00A70999">
        <w:rPr>
          <w:rStyle w:val="articlecontent"/>
          <w:rFonts w:eastAsiaTheme="minorEastAsia"/>
          <w:lang w:eastAsia="ja-JP"/>
        </w:rPr>
        <w:t xml:space="preserve"> taught in modern</w:t>
      </w:r>
      <w:r w:rsidR="00685B2E">
        <w:rPr>
          <w:rStyle w:val="articlecontent"/>
          <w:rFonts w:eastAsiaTheme="minorEastAsia"/>
          <w:lang w:eastAsia="ja-JP"/>
        </w:rPr>
        <w:t xml:space="preserve"> culinary </w:t>
      </w:r>
      <w:r w:rsidR="00685B2E" w:rsidRPr="00A70999">
        <w:rPr>
          <w:rStyle w:val="articlecontent"/>
          <w:rFonts w:eastAsiaTheme="minorEastAsia"/>
          <w:lang w:eastAsia="ja-JP"/>
        </w:rPr>
        <w:t>labs</w:t>
      </w:r>
      <w:r w:rsidR="00790577">
        <w:t xml:space="preserve"> </w:t>
      </w:r>
      <w:r w:rsidR="00685B2E">
        <w:t xml:space="preserve">similar to those </w:t>
      </w:r>
      <w:r>
        <w:t>utilized</w:t>
      </w:r>
      <w:r w:rsidR="00A5431E">
        <w:t xml:space="preserve"> throughout</w:t>
      </w:r>
      <w:r>
        <w:t xml:space="preserve"> the </w:t>
      </w:r>
      <w:r w:rsidR="00A5431E">
        <w:t>hospitality, restaurant and food service industries</w:t>
      </w:r>
      <w:r>
        <w:t xml:space="preserve">. </w:t>
      </w:r>
    </w:p>
    <w:p w14:paraId="1B854BEA" w14:textId="77777777" w:rsidR="007B3235" w:rsidRDefault="007B3235" w:rsidP="00C90828">
      <w:pPr>
        <w:pStyle w:val="ListParagraph"/>
        <w:numPr>
          <w:ilvl w:val="0"/>
          <w:numId w:val="3"/>
        </w:numPr>
        <w:spacing w:after="0" w:line="240" w:lineRule="auto"/>
        <w:ind w:left="1170" w:right="386" w:hanging="270"/>
        <w:rPr>
          <w:b/>
        </w:rPr>
      </w:pPr>
      <w:r w:rsidRPr="009B1DE3">
        <w:rPr>
          <w:b/>
        </w:rPr>
        <w:t>Experiential Learning:</w:t>
      </w:r>
    </w:p>
    <w:p w14:paraId="63BE0594" w14:textId="77777777" w:rsidR="007B3235" w:rsidRPr="009B1DE3" w:rsidRDefault="00790577" w:rsidP="00C90828">
      <w:pPr>
        <w:ind w:left="1170" w:right="18"/>
        <w:rPr>
          <w:sz w:val="22"/>
          <w:szCs w:val="22"/>
        </w:rPr>
      </w:pPr>
      <w:r>
        <w:rPr>
          <w:rStyle w:val="articlecontent"/>
        </w:rPr>
        <w:t xml:space="preserve">The proposed </w:t>
      </w:r>
      <w:r w:rsidR="00A5431E">
        <w:rPr>
          <w:rStyle w:val="articlecontent"/>
        </w:rPr>
        <w:t xml:space="preserve">AOS </w:t>
      </w:r>
      <w:r w:rsidRPr="00A70999">
        <w:rPr>
          <w:rStyle w:val="articlecontent"/>
        </w:rPr>
        <w:t>Culinary Arts program provid</w:t>
      </w:r>
      <w:r>
        <w:rPr>
          <w:rStyle w:val="articlecontent"/>
        </w:rPr>
        <w:t xml:space="preserve">es students </w:t>
      </w:r>
      <w:r w:rsidRPr="00A70999">
        <w:rPr>
          <w:rStyle w:val="articlecontent"/>
        </w:rPr>
        <w:t>with hands-on as well as the theoretical aspects of food service.</w:t>
      </w:r>
      <w:r>
        <w:rPr>
          <w:sz w:val="22"/>
          <w:szCs w:val="22"/>
        </w:rPr>
        <w:t xml:space="preserve"> S</w:t>
      </w:r>
      <w:r w:rsidR="007B3235">
        <w:rPr>
          <w:sz w:val="22"/>
          <w:szCs w:val="22"/>
        </w:rPr>
        <w:t xml:space="preserve">tudents will work directly with peers, mentors, and </w:t>
      </w:r>
      <w:r w:rsidR="00685B2E">
        <w:rPr>
          <w:sz w:val="22"/>
          <w:szCs w:val="22"/>
        </w:rPr>
        <w:t>local culinary experts</w:t>
      </w:r>
      <w:r w:rsidR="007B3235">
        <w:rPr>
          <w:sz w:val="22"/>
          <w:szCs w:val="22"/>
        </w:rPr>
        <w:t xml:space="preserve">. </w:t>
      </w:r>
      <w:r w:rsidR="00685B2E">
        <w:rPr>
          <w:rStyle w:val="articlecontent"/>
        </w:rPr>
        <w:t>They will</w:t>
      </w:r>
      <w:r w:rsidR="00685B2E" w:rsidRPr="00A70999">
        <w:rPr>
          <w:rStyle w:val="articlecontent"/>
        </w:rPr>
        <w:t xml:space="preserve"> gain experience working in numerous venues</w:t>
      </w:r>
      <w:r w:rsidR="00685B2E">
        <w:rPr>
          <w:rStyle w:val="articlecontent"/>
        </w:rPr>
        <w:t xml:space="preserve"> such as</w:t>
      </w:r>
      <w:r w:rsidR="00685B2E" w:rsidRPr="00A70999">
        <w:rPr>
          <w:rStyle w:val="articlecontent"/>
        </w:rPr>
        <w:t xml:space="preserve"> the college’s student-run dining room, at college-sponsored events</w:t>
      </w:r>
      <w:r w:rsidR="00685B2E">
        <w:rPr>
          <w:rStyle w:val="articlecontent"/>
        </w:rPr>
        <w:t>,</w:t>
      </w:r>
      <w:r w:rsidR="00685B2E" w:rsidRPr="00A70999">
        <w:rPr>
          <w:rStyle w:val="articlecontent"/>
        </w:rPr>
        <w:t xml:space="preserve"> and through co-op jobs in local restaurants, hotels, country clubs and casinos</w:t>
      </w:r>
      <w:r w:rsidR="00685B2E">
        <w:t xml:space="preserve">. </w:t>
      </w:r>
      <w:r w:rsidR="00764A76">
        <w:rPr>
          <w:sz w:val="22"/>
          <w:szCs w:val="22"/>
        </w:rPr>
        <w:t>S</w:t>
      </w:r>
      <w:r w:rsidR="007B3235">
        <w:rPr>
          <w:sz w:val="22"/>
          <w:szCs w:val="22"/>
        </w:rPr>
        <w:t xml:space="preserve">tudents will be required to complete one co-op experience. </w:t>
      </w:r>
    </w:p>
    <w:p w14:paraId="0BE8FA1A" w14:textId="77777777" w:rsidR="007B3235" w:rsidRPr="007B3235" w:rsidRDefault="007B3235" w:rsidP="00C90828">
      <w:pPr>
        <w:pStyle w:val="ListParagraph"/>
        <w:numPr>
          <w:ilvl w:val="0"/>
          <w:numId w:val="3"/>
        </w:numPr>
        <w:spacing w:after="240" w:line="240" w:lineRule="auto"/>
        <w:ind w:left="1170" w:right="386" w:hanging="270"/>
      </w:pPr>
      <w:r w:rsidRPr="007B3235">
        <w:rPr>
          <w:b/>
        </w:rPr>
        <w:t>Inclusive Excellence:</w:t>
      </w:r>
    </w:p>
    <w:p w14:paraId="03CF6A2D" w14:textId="77777777" w:rsidR="007B3235" w:rsidRPr="007B3235" w:rsidRDefault="007B3235" w:rsidP="00C90828">
      <w:pPr>
        <w:pStyle w:val="ListParagraph"/>
        <w:spacing w:after="240" w:line="240" w:lineRule="auto"/>
        <w:ind w:left="1170" w:right="386"/>
      </w:pPr>
      <w:r w:rsidRPr="007B3235">
        <w:t xml:space="preserve">NTID students will be preparing for careers in a field where no NTID </w:t>
      </w:r>
      <w:r>
        <w:t>A</w:t>
      </w:r>
      <w:r w:rsidR="00685B2E">
        <w:t>O</w:t>
      </w:r>
      <w:r>
        <w:t>S</w:t>
      </w:r>
      <w:r w:rsidRPr="007B3235">
        <w:t xml:space="preserve"> d</w:t>
      </w:r>
      <w:r w:rsidR="00790577">
        <w:t>egree programs currently lead</w:t>
      </w:r>
      <w:r w:rsidR="00A0492A">
        <w:t xml:space="preserve"> for deaf and hard-of-hearing students</w:t>
      </w:r>
      <w:r w:rsidR="00790577">
        <w:t>.</w:t>
      </w:r>
      <w:r w:rsidR="00685B2E">
        <w:t xml:space="preserve"> The Culinary </w:t>
      </w:r>
      <w:r w:rsidR="00A0492A">
        <w:t>A</w:t>
      </w:r>
      <w:r w:rsidR="00685B2E">
        <w:t xml:space="preserve">rts AOS program is </w:t>
      </w:r>
      <w:r w:rsidR="00685B2E" w:rsidRPr="00E01614">
        <w:t xml:space="preserve">primarily for students interested in specializing in positions such as chef, caterer, line cook, head cook, plus </w:t>
      </w:r>
      <w:r w:rsidR="00064C87" w:rsidRPr="00E01614">
        <w:t xml:space="preserve">other </w:t>
      </w:r>
      <w:r w:rsidR="00685B2E" w:rsidRPr="00E01614">
        <w:t xml:space="preserve">food and beverage </w:t>
      </w:r>
      <w:r w:rsidR="00064C87" w:rsidRPr="00E01614">
        <w:t>positions</w:t>
      </w:r>
      <w:r w:rsidR="00685B2E" w:rsidRPr="00E01614">
        <w:t>.</w:t>
      </w:r>
      <w:r w:rsidR="00685B2E">
        <w:t xml:space="preserve"> </w:t>
      </w:r>
    </w:p>
    <w:p w14:paraId="4728F2B3" w14:textId="77777777" w:rsidR="008A6DCC" w:rsidRPr="00F8548D" w:rsidRDefault="008A6DCC" w:rsidP="00C90828">
      <w:pPr>
        <w:ind w:left="720" w:right="386"/>
        <w:rPr>
          <w:b/>
          <w:sz w:val="22"/>
          <w:szCs w:val="22"/>
        </w:rPr>
      </w:pPr>
      <w:r w:rsidRPr="00F8548D">
        <w:rPr>
          <w:b/>
          <w:sz w:val="22"/>
          <w:szCs w:val="22"/>
        </w:rPr>
        <w:t>Criteria:</w:t>
      </w:r>
    </w:p>
    <w:p w14:paraId="08F39945" w14:textId="77777777" w:rsidR="00567F69" w:rsidRPr="00B136F5" w:rsidRDefault="00567F69" w:rsidP="00C90828">
      <w:pPr>
        <w:pStyle w:val="ListParagraph"/>
        <w:numPr>
          <w:ilvl w:val="0"/>
          <w:numId w:val="6"/>
        </w:numPr>
        <w:spacing w:after="0" w:line="240" w:lineRule="auto"/>
        <w:ind w:left="1170" w:right="386" w:hanging="450"/>
        <w:rPr>
          <w:b/>
        </w:rPr>
      </w:pPr>
      <w:r w:rsidRPr="00B136F5">
        <w:rPr>
          <w:b/>
        </w:rPr>
        <w:t>Centrality:</w:t>
      </w:r>
    </w:p>
    <w:p w14:paraId="044B9030" w14:textId="77777777" w:rsidR="002545FF" w:rsidRDefault="00D204B7" w:rsidP="00685B2E">
      <w:pPr>
        <w:spacing w:after="240"/>
        <w:ind w:left="1170" w:right="386"/>
        <w:rPr>
          <w:rFonts w:eastAsiaTheme="minorHAnsi"/>
          <w:sz w:val="22"/>
          <w:szCs w:val="22"/>
          <w:lang w:eastAsia="en-US"/>
        </w:rPr>
      </w:pPr>
      <w:r>
        <w:rPr>
          <w:rFonts w:eastAsiaTheme="minorHAnsi"/>
          <w:sz w:val="22"/>
          <w:szCs w:val="22"/>
          <w:lang w:eastAsia="en-US"/>
        </w:rPr>
        <w:t>In response to NTID’s Strategic Plan 2020, the Business Studies Department reviewed its portfolio of career-focused degree programs and concluded the need to add an A</w:t>
      </w:r>
      <w:r w:rsidR="00685B2E">
        <w:rPr>
          <w:rFonts w:eastAsiaTheme="minorHAnsi"/>
          <w:sz w:val="22"/>
          <w:szCs w:val="22"/>
          <w:lang w:eastAsia="en-US"/>
        </w:rPr>
        <w:t>O</w:t>
      </w:r>
      <w:r>
        <w:rPr>
          <w:rFonts w:eastAsiaTheme="minorHAnsi"/>
          <w:sz w:val="22"/>
          <w:szCs w:val="22"/>
          <w:lang w:eastAsia="en-US"/>
        </w:rPr>
        <w:t xml:space="preserve">S </w:t>
      </w:r>
      <w:r w:rsidR="00685B2E">
        <w:rPr>
          <w:rFonts w:eastAsiaTheme="minorHAnsi"/>
          <w:sz w:val="22"/>
          <w:szCs w:val="22"/>
          <w:lang w:eastAsia="en-US"/>
        </w:rPr>
        <w:t>Culinary Arts</w:t>
      </w:r>
      <w:r>
        <w:rPr>
          <w:rFonts w:eastAsiaTheme="minorHAnsi"/>
          <w:sz w:val="22"/>
          <w:szCs w:val="22"/>
          <w:lang w:eastAsia="en-US"/>
        </w:rPr>
        <w:t xml:space="preserve"> degree option. </w:t>
      </w:r>
      <w:r w:rsidR="00B136F5">
        <w:rPr>
          <w:rFonts w:eastAsiaTheme="minorHAnsi"/>
          <w:sz w:val="22"/>
          <w:szCs w:val="22"/>
          <w:lang w:eastAsia="en-US"/>
        </w:rPr>
        <w:t>T</w:t>
      </w:r>
      <w:r w:rsidR="00BE05A8" w:rsidRPr="00567F69">
        <w:rPr>
          <w:rFonts w:eastAsiaTheme="minorHAnsi"/>
          <w:sz w:val="22"/>
          <w:szCs w:val="22"/>
          <w:lang w:eastAsia="en-US"/>
        </w:rPr>
        <w:t xml:space="preserve">hrough a unique blend of curricular and experiential learning this program prepares its students </w:t>
      </w:r>
      <w:r w:rsidR="007B3235" w:rsidRPr="00567F69">
        <w:rPr>
          <w:rFonts w:eastAsiaTheme="minorHAnsi"/>
          <w:sz w:val="22"/>
          <w:szCs w:val="22"/>
          <w:lang w:eastAsia="en-US"/>
        </w:rPr>
        <w:t xml:space="preserve">to </w:t>
      </w:r>
      <w:r w:rsidR="00C00E24" w:rsidRPr="00567F69">
        <w:rPr>
          <w:rFonts w:eastAsiaTheme="minorHAnsi"/>
          <w:sz w:val="22"/>
          <w:szCs w:val="22"/>
          <w:lang w:eastAsia="en-US"/>
        </w:rPr>
        <w:t xml:space="preserve">broaden their thinking, their perspectives, and their actions through </w:t>
      </w:r>
      <w:r w:rsidR="0058350F">
        <w:rPr>
          <w:rFonts w:eastAsiaTheme="minorHAnsi"/>
          <w:sz w:val="22"/>
          <w:szCs w:val="22"/>
          <w:lang w:eastAsia="en-US"/>
        </w:rPr>
        <w:t>personal and professional development</w:t>
      </w:r>
      <w:r w:rsidR="001F164E">
        <w:rPr>
          <w:rFonts w:eastAsiaTheme="minorHAnsi"/>
          <w:sz w:val="22"/>
          <w:szCs w:val="22"/>
          <w:lang w:eastAsia="en-US"/>
        </w:rPr>
        <w:t xml:space="preserve"> which will prepare “T-shaped graduates” described in RIT’s 2015-2025 Strategic Plan</w:t>
      </w:r>
      <w:r w:rsidR="002545FF">
        <w:rPr>
          <w:rFonts w:eastAsiaTheme="minorHAnsi"/>
          <w:sz w:val="22"/>
          <w:szCs w:val="22"/>
          <w:lang w:eastAsia="en-US"/>
        </w:rPr>
        <w:t xml:space="preserve">. </w:t>
      </w:r>
    </w:p>
    <w:p w14:paraId="61E723AE" w14:textId="77777777" w:rsidR="00B136F5" w:rsidRPr="002545FF" w:rsidRDefault="00B136F5" w:rsidP="002545FF">
      <w:pPr>
        <w:ind w:left="1170" w:right="386"/>
        <w:rPr>
          <w:b/>
        </w:rPr>
      </w:pPr>
      <w:r w:rsidRPr="00685B2E">
        <w:rPr>
          <w:rFonts w:eastAsiaTheme="minorHAnsi"/>
          <w:b/>
          <w:sz w:val="22"/>
          <w:szCs w:val="22"/>
          <w:lang w:eastAsia="en-US"/>
        </w:rPr>
        <w:t>Marketability</w:t>
      </w:r>
    </w:p>
    <w:p w14:paraId="7B50A46C" w14:textId="77777777" w:rsidR="00CF08D5" w:rsidRPr="00CF08D5" w:rsidRDefault="00B0211E" w:rsidP="00CF08D5">
      <w:pPr>
        <w:spacing w:after="240"/>
        <w:ind w:left="1170" w:right="386"/>
        <w:rPr>
          <w:rFonts w:eastAsiaTheme="minorHAnsi"/>
          <w:sz w:val="22"/>
          <w:szCs w:val="22"/>
          <w:lang w:eastAsia="en-US"/>
        </w:rPr>
      </w:pPr>
      <w:r w:rsidRPr="002545FF">
        <w:t xml:space="preserve">The </w:t>
      </w:r>
      <w:r w:rsidR="00B136F5" w:rsidRPr="002545FF">
        <w:t>Business St</w:t>
      </w:r>
      <w:r w:rsidR="00B136F5" w:rsidRPr="002545FF">
        <w:rPr>
          <w:sz w:val="22"/>
          <w:szCs w:val="22"/>
        </w:rPr>
        <w:t>udies</w:t>
      </w:r>
      <w:r w:rsidR="00B136F5">
        <w:rPr>
          <w:sz w:val="22"/>
          <w:szCs w:val="22"/>
        </w:rPr>
        <w:t xml:space="preserve"> Department </w:t>
      </w:r>
      <w:r w:rsidR="002545FF">
        <w:rPr>
          <w:sz w:val="22"/>
          <w:szCs w:val="22"/>
        </w:rPr>
        <w:t>should have</w:t>
      </w:r>
      <w:r w:rsidR="00B136F5">
        <w:rPr>
          <w:sz w:val="22"/>
          <w:szCs w:val="22"/>
        </w:rPr>
        <w:t xml:space="preserve"> no pr</w:t>
      </w:r>
      <w:r w:rsidR="002545FF">
        <w:rPr>
          <w:sz w:val="22"/>
          <w:szCs w:val="22"/>
        </w:rPr>
        <w:t>oblem</w:t>
      </w:r>
      <w:r w:rsidR="00CF08D5">
        <w:rPr>
          <w:sz w:val="22"/>
          <w:szCs w:val="22"/>
        </w:rPr>
        <w:t>s</w:t>
      </w:r>
      <w:r w:rsidR="002545FF">
        <w:rPr>
          <w:sz w:val="22"/>
          <w:szCs w:val="22"/>
        </w:rPr>
        <w:t xml:space="preserve"> attracting students to </w:t>
      </w:r>
      <w:r w:rsidR="00CF08D5">
        <w:rPr>
          <w:sz w:val="22"/>
          <w:szCs w:val="22"/>
        </w:rPr>
        <w:t>an</w:t>
      </w:r>
      <w:r w:rsidR="002545FF">
        <w:rPr>
          <w:sz w:val="22"/>
          <w:szCs w:val="22"/>
        </w:rPr>
        <w:t xml:space="preserve"> AOS degree in Culinary Arts</w:t>
      </w:r>
      <w:r w:rsidR="00B136F5">
        <w:rPr>
          <w:sz w:val="22"/>
          <w:szCs w:val="22"/>
        </w:rPr>
        <w:t xml:space="preserve">. </w:t>
      </w:r>
      <w:r w:rsidR="00A0492A">
        <w:rPr>
          <w:sz w:val="22"/>
          <w:szCs w:val="22"/>
        </w:rPr>
        <w:t>Annually a few students arrive</w:t>
      </w:r>
      <w:r w:rsidR="00A24169">
        <w:rPr>
          <w:sz w:val="22"/>
          <w:szCs w:val="22"/>
        </w:rPr>
        <w:t>d</w:t>
      </w:r>
      <w:r w:rsidR="00A0492A">
        <w:rPr>
          <w:sz w:val="22"/>
          <w:szCs w:val="22"/>
        </w:rPr>
        <w:t xml:space="preserve"> during SVP thinking they </w:t>
      </w:r>
      <w:r w:rsidR="00A24169">
        <w:rPr>
          <w:sz w:val="22"/>
          <w:szCs w:val="22"/>
        </w:rPr>
        <w:t xml:space="preserve">will </w:t>
      </w:r>
      <w:r w:rsidR="00A0492A">
        <w:rPr>
          <w:sz w:val="22"/>
          <w:szCs w:val="22"/>
        </w:rPr>
        <w:t xml:space="preserve">have access to </w:t>
      </w:r>
      <w:r w:rsidR="00A24169">
        <w:rPr>
          <w:sz w:val="22"/>
          <w:szCs w:val="22"/>
        </w:rPr>
        <w:t>NTID</w:t>
      </w:r>
      <w:r w:rsidR="00A0492A">
        <w:rPr>
          <w:sz w:val="22"/>
          <w:szCs w:val="22"/>
        </w:rPr>
        <w:t xml:space="preserve">’s </w:t>
      </w:r>
      <w:r w:rsidR="00A24169">
        <w:rPr>
          <w:sz w:val="22"/>
          <w:szCs w:val="22"/>
        </w:rPr>
        <w:t xml:space="preserve">AS in Hospitality and Service Management program. However, through the English placement test process, they </w:t>
      </w:r>
      <w:r w:rsidR="00CF08D5">
        <w:rPr>
          <w:sz w:val="22"/>
          <w:szCs w:val="22"/>
        </w:rPr>
        <w:t xml:space="preserve">learn they </w:t>
      </w:r>
      <w:r w:rsidR="00A24169">
        <w:rPr>
          <w:sz w:val="22"/>
          <w:szCs w:val="22"/>
        </w:rPr>
        <w:t>are not qualified. Therefore</w:t>
      </w:r>
      <w:r w:rsidR="00CF08D5">
        <w:rPr>
          <w:sz w:val="22"/>
          <w:szCs w:val="22"/>
        </w:rPr>
        <w:t>,</w:t>
      </w:r>
      <w:r w:rsidR="00A24169">
        <w:rPr>
          <w:sz w:val="22"/>
          <w:szCs w:val="22"/>
        </w:rPr>
        <w:t xml:space="preserve"> the proposed A</w:t>
      </w:r>
      <w:r w:rsidR="00CF08D5">
        <w:rPr>
          <w:sz w:val="22"/>
          <w:szCs w:val="22"/>
        </w:rPr>
        <w:t>OS</w:t>
      </w:r>
      <w:r w:rsidR="004B372A" w:rsidRPr="006C420D">
        <w:rPr>
          <w:sz w:val="22"/>
          <w:szCs w:val="22"/>
        </w:rPr>
        <w:t xml:space="preserve"> program target</w:t>
      </w:r>
      <w:r w:rsidR="00CF08D5">
        <w:rPr>
          <w:sz w:val="22"/>
          <w:szCs w:val="22"/>
        </w:rPr>
        <w:t>s</w:t>
      </w:r>
      <w:r w:rsidR="004B372A" w:rsidRPr="006C420D">
        <w:rPr>
          <w:sz w:val="22"/>
          <w:szCs w:val="22"/>
        </w:rPr>
        <w:t xml:space="preserve"> students who </w:t>
      </w:r>
      <w:r w:rsidR="00CF08D5">
        <w:rPr>
          <w:sz w:val="22"/>
          <w:szCs w:val="22"/>
        </w:rPr>
        <w:t xml:space="preserve">will </w:t>
      </w:r>
      <w:r w:rsidR="004B372A" w:rsidRPr="006C420D">
        <w:rPr>
          <w:sz w:val="22"/>
          <w:szCs w:val="22"/>
        </w:rPr>
        <w:t>meet the entry requirements</w:t>
      </w:r>
      <w:r w:rsidR="00CF08D5">
        <w:rPr>
          <w:sz w:val="22"/>
          <w:szCs w:val="22"/>
        </w:rPr>
        <w:t xml:space="preserve"> with </w:t>
      </w:r>
      <w:r w:rsidR="00CF08D5">
        <w:rPr>
          <w:rStyle w:val="articlecontent"/>
        </w:rPr>
        <w:t>a</w:t>
      </w:r>
      <w:r w:rsidR="00CF08D5" w:rsidRPr="00FF3743">
        <w:rPr>
          <w:rStyle w:val="articlecontent"/>
        </w:rPr>
        <w:t xml:space="preserve">n ACT score of </w:t>
      </w:r>
      <w:r w:rsidR="00CF08D5">
        <w:rPr>
          <w:rStyle w:val="articlecontent"/>
        </w:rPr>
        <w:t>14</w:t>
      </w:r>
      <w:r w:rsidR="00CF08D5">
        <w:rPr>
          <w:sz w:val="22"/>
          <w:szCs w:val="22"/>
        </w:rPr>
        <w:t xml:space="preserve"> or higher and placed </w:t>
      </w:r>
      <w:r w:rsidR="00A5431E">
        <w:rPr>
          <w:sz w:val="22"/>
          <w:szCs w:val="22"/>
        </w:rPr>
        <w:t>into</w:t>
      </w:r>
      <w:r w:rsidR="00CF08D5">
        <w:rPr>
          <w:sz w:val="22"/>
          <w:szCs w:val="22"/>
        </w:rPr>
        <w:t xml:space="preserve"> the Career English sequence of courses.</w:t>
      </w:r>
    </w:p>
    <w:p w14:paraId="5FC0B7BF" w14:textId="77777777" w:rsidR="004B372A" w:rsidRPr="00CF08D5" w:rsidRDefault="006F1E59" w:rsidP="00CF08D5">
      <w:pPr>
        <w:spacing w:after="240"/>
        <w:ind w:left="1170" w:right="386"/>
        <w:rPr>
          <w:rFonts w:eastAsiaTheme="minorHAnsi"/>
          <w:sz w:val="22"/>
          <w:szCs w:val="22"/>
          <w:lang w:eastAsia="en-US"/>
        </w:rPr>
      </w:pPr>
      <w:r w:rsidRPr="0088458C">
        <w:rPr>
          <w:sz w:val="22"/>
          <w:szCs w:val="22"/>
        </w:rPr>
        <w:t xml:space="preserve">Scott Hooker, Direction of NTID Office of Admissions, </w:t>
      </w:r>
      <w:r w:rsidRPr="006C420D">
        <w:rPr>
          <w:sz w:val="22"/>
          <w:szCs w:val="22"/>
        </w:rPr>
        <w:t>fully supports the development of a new A</w:t>
      </w:r>
      <w:r w:rsidR="00CF08D5">
        <w:rPr>
          <w:sz w:val="22"/>
          <w:szCs w:val="22"/>
        </w:rPr>
        <w:t>O</w:t>
      </w:r>
      <w:r w:rsidRPr="006C420D">
        <w:rPr>
          <w:sz w:val="22"/>
          <w:szCs w:val="22"/>
        </w:rPr>
        <w:t xml:space="preserve">S degree in </w:t>
      </w:r>
      <w:r w:rsidR="00CF08D5">
        <w:rPr>
          <w:sz w:val="22"/>
          <w:szCs w:val="22"/>
        </w:rPr>
        <w:t>Culinary Arts</w:t>
      </w:r>
      <w:r w:rsidRPr="006C420D">
        <w:rPr>
          <w:sz w:val="22"/>
          <w:szCs w:val="22"/>
        </w:rPr>
        <w:t>. “Based on marketi</w:t>
      </w:r>
      <w:r w:rsidR="00A5431E">
        <w:rPr>
          <w:sz w:val="22"/>
          <w:szCs w:val="22"/>
        </w:rPr>
        <w:t>ng research,</w:t>
      </w:r>
      <w:r w:rsidRPr="006C420D">
        <w:rPr>
          <w:sz w:val="22"/>
          <w:szCs w:val="22"/>
        </w:rPr>
        <w:t xml:space="preserve"> and admissions anecdotal information, the A</w:t>
      </w:r>
      <w:r w:rsidR="00CF08D5">
        <w:rPr>
          <w:sz w:val="22"/>
          <w:szCs w:val="22"/>
        </w:rPr>
        <w:t>O</w:t>
      </w:r>
      <w:r w:rsidRPr="006C420D">
        <w:rPr>
          <w:sz w:val="22"/>
          <w:szCs w:val="22"/>
        </w:rPr>
        <w:t xml:space="preserve">S in </w:t>
      </w:r>
      <w:r w:rsidR="00CF08D5">
        <w:rPr>
          <w:sz w:val="22"/>
          <w:szCs w:val="22"/>
        </w:rPr>
        <w:t>Culinary Arts</w:t>
      </w:r>
      <w:r w:rsidRPr="006C420D">
        <w:rPr>
          <w:sz w:val="22"/>
          <w:szCs w:val="22"/>
        </w:rPr>
        <w:t xml:space="preserve"> </w:t>
      </w:r>
      <w:r w:rsidR="002149F5" w:rsidRPr="006C420D">
        <w:rPr>
          <w:sz w:val="22"/>
          <w:szCs w:val="22"/>
        </w:rPr>
        <w:t xml:space="preserve">will meet our needs, be of interest to many of our prospective and current students and help with NTID’s </w:t>
      </w:r>
      <w:r w:rsidR="00A5431E">
        <w:rPr>
          <w:sz w:val="22"/>
          <w:szCs w:val="22"/>
        </w:rPr>
        <w:t xml:space="preserve">future </w:t>
      </w:r>
      <w:r w:rsidR="002149F5" w:rsidRPr="006C420D">
        <w:rPr>
          <w:sz w:val="22"/>
          <w:szCs w:val="22"/>
        </w:rPr>
        <w:t>enrollment.</w:t>
      </w:r>
      <w:r w:rsidR="004B372A" w:rsidRPr="006C420D">
        <w:rPr>
          <w:sz w:val="22"/>
          <w:szCs w:val="22"/>
        </w:rPr>
        <w:t>”</w:t>
      </w:r>
      <w:r w:rsidR="004B372A">
        <w:rPr>
          <w:sz w:val="22"/>
          <w:szCs w:val="22"/>
        </w:rPr>
        <w:t xml:space="preserve"> </w:t>
      </w:r>
    </w:p>
    <w:p w14:paraId="7F56059B" w14:textId="77777777" w:rsidR="00032FAA" w:rsidRPr="007B3235" w:rsidRDefault="008A6DCC" w:rsidP="00C90828">
      <w:pPr>
        <w:ind w:left="1170" w:right="386"/>
        <w:rPr>
          <w:b/>
        </w:rPr>
      </w:pPr>
      <w:r w:rsidRPr="009B1DE3">
        <w:rPr>
          <w:b/>
        </w:rPr>
        <w:t>Quality</w:t>
      </w:r>
    </w:p>
    <w:p w14:paraId="222208BE" w14:textId="77777777" w:rsidR="00ED3C87" w:rsidRPr="00ED3C87" w:rsidRDefault="00ED3C87" w:rsidP="00ED3C87">
      <w:pPr>
        <w:spacing w:after="240"/>
        <w:ind w:left="1170" w:right="386"/>
        <w:rPr>
          <w:rFonts w:eastAsiaTheme="minorHAnsi"/>
          <w:sz w:val="22"/>
          <w:szCs w:val="22"/>
          <w:lang w:eastAsia="en-US"/>
        </w:rPr>
      </w:pPr>
      <w:r w:rsidRPr="00ED3C87">
        <w:rPr>
          <w:sz w:val="22"/>
          <w:szCs w:val="22"/>
        </w:rPr>
        <w:t>One faculty member within the Business Studies Department has sufficient credentials/</w:t>
      </w:r>
      <w:r>
        <w:rPr>
          <w:sz w:val="22"/>
          <w:szCs w:val="22"/>
        </w:rPr>
        <w:t xml:space="preserve">expertise to </w:t>
      </w:r>
      <w:r w:rsidRPr="00ED3C87">
        <w:rPr>
          <w:sz w:val="22"/>
          <w:szCs w:val="22"/>
        </w:rPr>
        <w:t xml:space="preserve">teach </w:t>
      </w:r>
      <w:r>
        <w:rPr>
          <w:sz w:val="22"/>
          <w:szCs w:val="22"/>
        </w:rPr>
        <w:t xml:space="preserve">some of </w:t>
      </w:r>
      <w:r w:rsidRPr="00ED3C87">
        <w:rPr>
          <w:sz w:val="22"/>
          <w:szCs w:val="22"/>
        </w:rPr>
        <w:t xml:space="preserve">the technical courses, assuring quality course delivery. Innovative and effective pedagogical approaches that support student centered learning, including alternative delivery systems and technology, which are the cornerstone of NTID Business Studies faculty approach to course delivery. This </w:t>
      </w:r>
      <w:r w:rsidRPr="00ED3C87">
        <w:rPr>
          <w:sz w:val="22"/>
          <w:szCs w:val="22"/>
        </w:rPr>
        <w:lastRenderedPageBreak/>
        <w:t>program will incorporate the same high standards for rigorous academic learning and outcomes for our students’ career preparation as demonstrated in our other associate degree programs.</w:t>
      </w:r>
    </w:p>
    <w:p w14:paraId="0EB61733" w14:textId="77777777" w:rsidR="00CF08D5" w:rsidRPr="00ED3C87" w:rsidRDefault="00D224D2" w:rsidP="0085327D">
      <w:pPr>
        <w:pStyle w:val="ListParagraph"/>
        <w:numPr>
          <w:ilvl w:val="0"/>
          <w:numId w:val="5"/>
        </w:numPr>
        <w:spacing w:before="240" w:after="0"/>
        <w:ind w:left="450" w:hanging="450"/>
        <w:rPr>
          <w:rFonts w:eastAsiaTheme="minorEastAsia"/>
          <w:b/>
          <w:color w:val="8496B0" w:themeColor="text2" w:themeTint="99"/>
          <w:sz w:val="24"/>
          <w:szCs w:val="24"/>
          <w:lang w:eastAsia="ja-JP"/>
        </w:rPr>
      </w:pPr>
      <w:r w:rsidRPr="00CF08D5">
        <w:rPr>
          <w:b/>
          <w:color w:val="8496B0" w:themeColor="text2" w:themeTint="99"/>
        </w:rPr>
        <w:t xml:space="preserve">Synergy with Other Programs </w:t>
      </w:r>
    </w:p>
    <w:p w14:paraId="7AA4BF83" w14:textId="77777777" w:rsidR="00D224D2" w:rsidRPr="00A35929" w:rsidRDefault="00A0259E" w:rsidP="00A35929">
      <w:pPr>
        <w:spacing w:after="240"/>
        <w:ind w:left="360" w:right="386"/>
        <w:rPr>
          <w:sz w:val="22"/>
          <w:szCs w:val="22"/>
        </w:rPr>
      </w:pPr>
      <w:r>
        <w:rPr>
          <w:sz w:val="22"/>
          <w:szCs w:val="22"/>
        </w:rPr>
        <w:t>Both</w:t>
      </w:r>
      <w:r w:rsidR="00AA40B9" w:rsidRPr="00CF08D5">
        <w:rPr>
          <w:sz w:val="22"/>
          <w:szCs w:val="22"/>
        </w:rPr>
        <w:t xml:space="preserve"> </w:t>
      </w:r>
      <w:r w:rsidR="0086631A">
        <w:rPr>
          <w:sz w:val="22"/>
          <w:szCs w:val="22"/>
        </w:rPr>
        <w:t>the</w:t>
      </w:r>
      <w:r w:rsidR="003359C6">
        <w:rPr>
          <w:sz w:val="22"/>
          <w:szCs w:val="22"/>
        </w:rPr>
        <w:t xml:space="preserve"> Essentials of Human Resources Management and the</w:t>
      </w:r>
      <w:r w:rsidR="0086631A">
        <w:rPr>
          <w:sz w:val="22"/>
          <w:szCs w:val="22"/>
        </w:rPr>
        <w:t xml:space="preserve"> </w:t>
      </w:r>
      <w:r w:rsidR="00AA40B9" w:rsidRPr="00CF08D5">
        <w:rPr>
          <w:sz w:val="22"/>
          <w:szCs w:val="22"/>
        </w:rPr>
        <w:t>Essentials of Bus</w:t>
      </w:r>
      <w:r w:rsidR="003359C6">
        <w:rPr>
          <w:sz w:val="22"/>
          <w:szCs w:val="22"/>
        </w:rPr>
        <w:t xml:space="preserve">iness Communication course </w:t>
      </w:r>
      <w:r w:rsidR="00AA40B9" w:rsidRPr="00CF08D5">
        <w:rPr>
          <w:sz w:val="22"/>
          <w:szCs w:val="22"/>
        </w:rPr>
        <w:t>incorporate interactions between the</w:t>
      </w:r>
      <w:r w:rsidR="003C16E3">
        <w:rPr>
          <w:sz w:val="22"/>
          <w:szCs w:val="22"/>
        </w:rPr>
        <w:t>se</w:t>
      </w:r>
      <w:r w:rsidR="00AA40B9" w:rsidRPr="00CF08D5">
        <w:rPr>
          <w:sz w:val="22"/>
          <w:szCs w:val="22"/>
        </w:rPr>
        <w:t xml:space="preserve"> </w:t>
      </w:r>
      <w:r w:rsidR="0086631A">
        <w:rPr>
          <w:sz w:val="22"/>
          <w:szCs w:val="22"/>
        </w:rPr>
        <w:t xml:space="preserve">culinary </w:t>
      </w:r>
      <w:r w:rsidR="00AA40B9" w:rsidRPr="00CF08D5">
        <w:rPr>
          <w:sz w:val="22"/>
          <w:szCs w:val="22"/>
        </w:rPr>
        <w:t xml:space="preserve">students, NTID Employment Advisors, and outside speakers in an effort to prepare students for the challenges they will face in the workplace. In addition, the </w:t>
      </w:r>
      <w:r w:rsidR="00A35929">
        <w:rPr>
          <w:sz w:val="22"/>
          <w:szCs w:val="22"/>
        </w:rPr>
        <w:t xml:space="preserve">Culinary Arts </w:t>
      </w:r>
      <w:r w:rsidR="00AA40B9" w:rsidRPr="00CF08D5">
        <w:rPr>
          <w:sz w:val="22"/>
          <w:szCs w:val="22"/>
        </w:rPr>
        <w:t xml:space="preserve">students </w:t>
      </w:r>
      <w:r w:rsidR="003029A8" w:rsidRPr="00CF08D5">
        <w:rPr>
          <w:sz w:val="22"/>
          <w:szCs w:val="22"/>
        </w:rPr>
        <w:t xml:space="preserve">will </w:t>
      </w:r>
      <w:r w:rsidR="00AA40B9" w:rsidRPr="00CF08D5">
        <w:rPr>
          <w:sz w:val="22"/>
          <w:szCs w:val="22"/>
        </w:rPr>
        <w:t xml:space="preserve">take these required classes with students in the </w:t>
      </w:r>
      <w:r w:rsidR="00977118">
        <w:rPr>
          <w:sz w:val="22"/>
          <w:szCs w:val="22"/>
        </w:rPr>
        <w:t xml:space="preserve">Business Technology AOS plus </w:t>
      </w:r>
      <w:r w:rsidR="00AA40B9" w:rsidRPr="00CF08D5">
        <w:rPr>
          <w:sz w:val="22"/>
          <w:szCs w:val="22"/>
        </w:rPr>
        <w:t>AAS Administrative Support Technology program</w:t>
      </w:r>
      <w:r w:rsidR="00A35929">
        <w:rPr>
          <w:sz w:val="22"/>
          <w:szCs w:val="22"/>
        </w:rPr>
        <w:t>s</w:t>
      </w:r>
      <w:r w:rsidR="00AA40B9" w:rsidRPr="00CF08D5">
        <w:rPr>
          <w:sz w:val="22"/>
          <w:szCs w:val="22"/>
        </w:rPr>
        <w:t xml:space="preserve"> and the AAS Accounting Technology program</w:t>
      </w:r>
      <w:r w:rsidR="00A35929">
        <w:rPr>
          <w:sz w:val="22"/>
          <w:szCs w:val="22"/>
        </w:rPr>
        <w:t>s</w:t>
      </w:r>
      <w:r w:rsidR="00AA40B9" w:rsidRPr="00CF08D5">
        <w:rPr>
          <w:sz w:val="22"/>
          <w:szCs w:val="22"/>
        </w:rPr>
        <w:t xml:space="preserve">. </w:t>
      </w:r>
      <w:r w:rsidR="0058350F" w:rsidRPr="00CF08D5">
        <w:rPr>
          <w:sz w:val="22"/>
          <w:szCs w:val="22"/>
        </w:rPr>
        <w:t>Business</w:t>
      </w:r>
      <w:r w:rsidR="00AA40B9" w:rsidRPr="00CF08D5">
        <w:rPr>
          <w:sz w:val="22"/>
          <w:szCs w:val="22"/>
        </w:rPr>
        <w:t xml:space="preserve"> students from </w:t>
      </w:r>
      <w:r w:rsidR="0058350F" w:rsidRPr="00CF08D5">
        <w:rPr>
          <w:sz w:val="22"/>
          <w:szCs w:val="22"/>
        </w:rPr>
        <w:t>these</w:t>
      </w:r>
      <w:r w:rsidR="00AA40B9" w:rsidRPr="00CF08D5">
        <w:rPr>
          <w:sz w:val="22"/>
          <w:szCs w:val="22"/>
        </w:rPr>
        <w:t xml:space="preserve"> majors will learn to share the common language of business as the various concepts and theories of business are applied to </w:t>
      </w:r>
      <w:r w:rsidR="00A35929">
        <w:rPr>
          <w:sz w:val="22"/>
          <w:szCs w:val="22"/>
        </w:rPr>
        <w:t>their course work</w:t>
      </w:r>
      <w:r w:rsidR="00A04D29" w:rsidRPr="00A35929">
        <w:rPr>
          <w:sz w:val="22"/>
          <w:szCs w:val="22"/>
        </w:rPr>
        <w:t xml:space="preserve">. </w:t>
      </w:r>
    </w:p>
    <w:p w14:paraId="1D540971" w14:textId="77777777" w:rsidR="00D224D2" w:rsidRPr="007F1468" w:rsidRDefault="00D224D2" w:rsidP="0085327D">
      <w:pPr>
        <w:pStyle w:val="ListParagraph"/>
        <w:numPr>
          <w:ilvl w:val="0"/>
          <w:numId w:val="5"/>
        </w:numPr>
        <w:spacing w:before="240" w:after="0"/>
        <w:ind w:left="450" w:hanging="450"/>
        <w:rPr>
          <w:rFonts w:eastAsiaTheme="minorEastAsia"/>
          <w:b/>
          <w:color w:val="8496B0" w:themeColor="text2" w:themeTint="99"/>
          <w:sz w:val="24"/>
          <w:szCs w:val="24"/>
          <w:lang w:eastAsia="ja-JP"/>
        </w:rPr>
      </w:pPr>
      <w:r w:rsidRPr="007F1468">
        <w:rPr>
          <w:rFonts w:eastAsiaTheme="minorEastAsia"/>
          <w:b/>
          <w:color w:val="8496B0" w:themeColor="text2" w:themeTint="99"/>
          <w:sz w:val="24"/>
          <w:szCs w:val="24"/>
          <w:lang w:eastAsia="ja-JP"/>
        </w:rPr>
        <w:t xml:space="preserve">Administrative Structure for the New Program </w:t>
      </w:r>
    </w:p>
    <w:p w14:paraId="3BFAE97A" w14:textId="77777777" w:rsidR="00A8512C" w:rsidRPr="00A8512C" w:rsidRDefault="005D5202" w:rsidP="00C90828">
      <w:pPr>
        <w:spacing w:after="240"/>
        <w:ind w:left="360"/>
        <w:rPr>
          <w:sz w:val="22"/>
          <w:szCs w:val="22"/>
        </w:rPr>
      </w:pPr>
      <w:r w:rsidRPr="005D5202">
        <w:rPr>
          <w:sz w:val="22"/>
          <w:szCs w:val="22"/>
        </w:rPr>
        <w:t>The administrative structure of the proposed program will follow the standard administrative structure of NTID. The chair will work with the</w:t>
      </w:r>
      <w:r w:rsidR="009C73FC">
        <w:rPr>
          <w:sz w:val="22"/>
          <w:szCs w:val="22"/>
        </w:rPr>
        <w:t xml:space="preserve"> department’s</w:t>
      </w:r>
      <w:r w:rsidRPr="005D5202">
        <w:rPr>
          <w:sz w:val="22"/>
          <w:szCs w:val="22"/>
        </w:rPr>
        <w:t xml:space="preserve"> </w:t>
      </w:r>
      <w:r w:rsidR="009C73FC">
        <w:rPr>
          <w:sz w:val="22"/>
          <w:szCs w:val="22"/>
        </w:rPr>
        <w:t xml:space="preserve">program </w:t>
      </w:r>
      <w:r w:rsidRPr="005D5202">
        <w:rPr>
          <w:sz w:val="22"/>
          <w:szCs w:val="22"/>
        </w:rPr>
        <w:t xml:space="preserve">coordinator as needed relative to administrative duties such as course scheduling, faculty assignments, and program budget. </w:t>
      </w:r>
    </w:p>
    <w:p w14:paraId="23DBB45B" w14:textId="77777777" w:rsidR="00D224D2" w:rsidRPr="007F1468" w:rsidRDefault="00D224D2" w:rsidP="0085327D">
      <w:pPr>
        <w:pStyle w:val="ListParagraph"/>
        <w:numPr>
          <w:ilvl w:val="0"/>
          <w:numId w:val="5"/>
        </w:numPr>
        <w:spacing w:after="0"/>
        <w:ind w:left="450" w:hanging="450"/>
        <w:rPr>
          <w:rFonts w:eastAsiaTheme="minorEastAsia"/>
          <w:b/>
          <w:color w:val="8496B0" w:themeColor="text2" w:themeTint="99"/>
          <w:sz w:val="24"/>
          <w:szCs w:val="24"/>
          <w:lang w:eastAsia="ja-JP"/>
        </w:rPr>
      </w:pPr>
      <w:r w:rsidRPr="007F1468">
        <w:rPr>
          <w:rFonts w:eastAsiaTheme="minorEastAsia"/>
          <w:b/>
          <w:color w:val="8496B0" w:themeColor="text2" w:themeTint="99"/>
          <w:sz w:val="24"/>
          <w:szCs w:val="24"/>
          <w:lang w:eastAsia="ja-JP"/>
        </w:rPr>
        <w:t xml:space="preserve">Enrollment Expectations and Sustainment </w:t>
      </w:r>
    </w:p>
    <w:p w14:paraId="3EA2C207" w14:textId="77777777" w:rsidR="00A04D29" w:rsidRDefault="000F2C4B" w:rsidP="00C90828">
      <w:pPr>
        <w:spacing w:after="240"/>
        <w:ind w:left="360" w:right="389"/>
        <w:rPr>
          <w:sz w:val="22"/>
          <w:szCs w:val="22"/>
        </w:rPr>
      </w:pPr>
      <w:r w:rsidRPr="003359C6">
        <w:rPr>
          <w:sz w:val="22"/>
          <w:szCs w:val="22"/>
        </w:rPr>
        <w:t xml:space="preserve">Since the overall job opportunities are expected to be very good as a result of employment growth in the restaurant and food service industries plus the need to replace workers who will leave the occupation, we believe we will be able to attract students to an AOS Culinary Arts degree program. Throughout the Culinary Arts associates degree program, food preparation and management skills will be developed and </w:t>
      </w:r>
      <w:r w:rsidR="006C2043" w:rsidRPr="003359C6">
        <w:rPr>
          <w:sz w:val="22"/>
          <w:szCs w:val="22"/>
        </w:rPr>
        <w:t xml:space="preserve">will </w:t>
      </w:r>
      <w:r w:rsidRPr="003359C6">
        <w:rPr>
          <w:sz w:val="22"/>
          <w:szCs w:val="22"/>
        </w:rPr>
        <w:t xml:space="preserve">provide job opportunities in food preparation, baking and catering. </w:t>
      </w:r>
    </w:p>
    <w:p w14:paraId="04FA5E83" w14:textId="01568ABC" w:rsidR="00EC0068" w:rsidRDefault="005D5202" w:rsidP="00C90828">
      <w:pPr>
        <w:spacing w:after="240"/>
        <w:ind w:left="360"/>
        <w:rPr>
          <w:sz w:val="22"/>
          <w:szCs w:val="22"/>
        </w:rPr>
      </w:pPr>
      <w:r>
        <w:rPr>
          <w:sz w:val="22"/>
          <w:szCs w:val="22"/>
        </w:rPr>
        <w:t>We anticipate that we can fill the enrollment demand</w:t>
      </w:r>
      <w:r w:rsidR="006C2043">
        <w:rPr>
          <w:sz w:val="22"/>
          <w:szCs w:val="22"/>
        </w:rPr>
        <w:t>s</w:t>
      </w:r>
      <w:r>
        <w:rPr>
          <w:sz w:val="22"/>
          <w:szCs w:val="22"/>
        </w:rPr>
        <w:t xml:space="preserve"> </w:t>
      </w:r>
      <w:r w:rsidR="006C420D">
        <w:rPr>
          <w:sz w:val="22"/>
          <w:szCs w:val="22"/>
        </w:rPr>
        <w:t xml:space="preserve">primarily </w:t>
      </w:r>
      <w:r>
        <w:rPr>
          <w:sz w:val="22"/>
          <w:szCs w:val="22"/>
        </w:rPr>
        <w:t xml:space="preserve">from students that would not otherwise come to NTID. Students accepted into this program will be screened to meet the enrollment criteria </w:t>
      </w:r>
      <w:r w:rsidR="006C2043">
        <w:rPr>
          <w:sz w:val="22"/>
          <w:szCs w:val="22"/>
        </w:rPr>
        <w:t>for</w:t>
      </w:r>
      <w:r>
        <w:rPr>
          <w:sz w:val="22"/>
          <w:szCs w:val="22"/>
        </w:rPr>
        <w:t xml:space="preserve"> this associate degree, meaning they have the ACT </w:t>
      </w:r>
      <w:r w:rsidRPr="00424C70">
        <w:rPr>
          <w:sz w:val="22"/>
          <w:szCs w:val="22"/>
        </w:rPr>
        <w:t>scores indicat</w:t>
      </w:r>
      <w:r w:rsidR="00863826" w:rsidRPr="00424C70">
        <w:rPr>
          <w:sz w:val="22"/>
          <w:szCs w:val="22"/>
        </w:rPr>
        <w:t>ing</w:t>
      </w:r>
      <w:r w:rsidRPr="00424C70">
        <w:rPr>
          <w:sz w:val="22"/>
          <w:szCs w:val="22"/>
        </w:rPr>
        <w:t xml:space="preserve"> readiness to take the courses identified in the first semester</w:t>
      </w:r>
      <w:r w:rsidR="009B766A" w:rsidRPr="00424C70">
        <w:rPr>
          <w:sz w:val="22"/>
          <w:szCs w:val="22"/>
        </w:rPr>
        <w:t xml:space="preserve"> of the planned course mask. </w:t>
      </w:r>
      <w:r w:rsidR="00064C87" w:rsidRPr="00424C70">
        <w:rPr>
          <w:sz w:val="22"/>
          <w:szCs w:val="22"/>
        </w:rPr>
        <w:t>The enrollment numbers given to us by NTID’s Admissions are conservative.</w:t>
      </w:r>
      <w:r w:rsidR="000D22BC" w:rsidRPr="00424C70">
        <w:rPr>
          <w:sz w:val="22"/>
          <w:szCs w:val="22"/>
        </w:rPr>
        <w:t xml:space="preserve"> </w:t>
      </w:r>
      <w:r w:rsidR="008A021F" w:rsidRPr="00424C70">
        <w:rPr>
          <w:sz w:val="22"/>
          <w:szCs w:val="22"/>
        </w:rPr>
        <w:t>There is anec</w:t>
      </w:r>
      <w:r w:rsidR="000D22BC" w:rsidRPr="00424C70">
        <w:rPr>
          <w:sz w:val="22"/>
          <w:szCs w:val="22"/>
        </w:rPr>
        <w:t xml:space="preserve">dotal </w:t>
      </w:r>
      <w:r w:rsidR="008A021F" w:rsidRPr="00424C70">
        <w:rPr>
          <w:sz w:val="22"/>
          <w:szCs w:val="22"/>
        </w:rPr>
        <w:t>evidence</w:t>
      </w:r>
      <w:r w:rsidR="000D22BC" w:rsidRPr="00424C70">
        <w:rPr>
          <w:sz w:val="22"/>
          <w:szCs w:val="22"/>
        </w:rPr>
        <w:t xml:space="preserve"> from NTID faculty who </w:t>
      </w:r>
      <w:r w:rsidR="008A021F" w:rsidRPr="00424C70">
        <w:rPr>
          <w:sz w:val="22"/>
          <w:szCs w:val="22"/>
        </w:rPr>
        <w:t>are familiar</w:t>
      </w:r>
      <w:r w:rsidR="000D22BC" w:rsidRPr="00424C70">
        <w:rPr>
          <w:sz w:val="22"/>
          <w:szCs w:val="22"/>
        </w:rPr>
        <w:t xml:space="preserve"> with high school level deaf or hard-of-hearing culinary programs around the country </w:t>
      </w:r>
      <w:r w:rsidR="008A021F" w:rsidRPr="00424C70">
        <w:rPr>
          <w:sz w:val="22"/>
          <w:szCs w:val="22"/>
        </w:rPr>
        <w:t xml:space="preserve">that there is </w:t>
      </w:r>
      <w:r w:rsidR="000D22BC" w:rsidRPr="00424C70">
        <w:rPr>
          <w:sz w:val="22"/>
          <w:szCs w:val="22"/>
        </w:rPr>
        <w:t>a real need to provide additional education at the associate degree level.</w:t>
      </w:r>
    </w:p>
    <w:p w14:paraId="14088482" w14:textId="584FA389" w:rsidR="00A8512C" w:rsidRDefault="005D5202" w:rsidP="00A85594">
      <w:pPr>
        <w:spacing w:after="240"/>
        <w:ind w:left="360"/>
        <w:rPr>
          <w:sz w:val="22"/>
          <w:szCs w:val="22"/>
        </w:rPr>
      </w:pPr>
      <w:r>
        <w:rPr>
          <w:sz w:val="22"/>
          <w:szCs w:val="22"/>
        </w:rPr>
        <w:t>Enrollment projections</w:t>
      </w:r>
      <w:r w:rsidR="006C420D">
        <w:rPr>
          <w:sz w:val="22"/>
          <w:szCs w:val="22"/>
        </w:rPr>
        <w:t xml:space="preserve">, </w:t>
      </w:r>
      <w:r w:rsidR="005509CE">
        <w:rPr>
          <w:sz w:val="22"/>
          <w:szCs w:val="22"/>
        </w:rPr>
        <w:t>certified</w:t>
      </w:r>
      <w:r w:rsidR="006C420D">
        <w:rPr>
          <w:sz w:val="22"/>
          <w:szCs w:val="22"/>
        </w:rPr>
        <w:t xml:space="preserve"> by Jim Miller, Senior VP of Enrollment Management,</w:t>
      </w:r>
      <w:r>
        <w:rPr>
          <w:sz w:val="22"/>
          <w:szCs w:val="22"/>
        </w:rPr>
        <w:t xml:space="preserve"> are</w:t>
      </w:r>
      <w:r w:rsidR="006C420D">
        <w:rPr>
          <w:sz w:val="22"/>
          <w:szCs w:val="22"/>
        </w:rPr>
        <w:t xml:space="preserve"> summarized in the </w:t>
      </w:r>
      <w:r w:rsidR="00EC0068">
        <w:rPr>
          <w:sz w:val="22"/>
          <w:szCs w:val="22"/>
        </w:rPr>
        <w:t xml:space="preserve">following </w:t>
      </w:r>
      <w:r w:rsidR="006C420D">
        <w:rPr>
          <w:sz w:val="22"/>
          <w:szCs w:val="22"/>
        </w:rPr>
        <w:t xml:space="preserve">table and detailed in the Appendix </w:t>
      </w:r>
      <w:r w:rsidR="00424C70">
        <w:rPr>
          <w:sz w:val="22"/>
          <w:szCs w:val="22"/>
        </w:rPr>
        <w:t xml:space="preserve">A </w:t>
      </w:r>
      <w:r w:rsidR="006C420D">
        <w:rPr>
          <w:sz w:val="22"/>
          <w:szCs w:val="22"/>
        </w:rPr>
        <w:t xml:space="preserve">for years 1-5. </w:t>
      </w:r>
      <w:r>
        <w:rPr>
          <w:sz w:val="22"/>
          <w:szCs w:val="22"/>
        </w:rPr>
        <w:t xml:space="preserve">This table shows </w:t>
      </w:r>
      <w:r w:rsidR="006C420D">
        <w:rPr>
          <w:sz w:val="22"/>
          <w:szCs w:val="22"/>
        </w:rPr>
        <w:t xml:space="preserve">that we anticipate enrolling </w:t>
      </w:r>
      <w:r w:rsidR="0011382E">
        <w:rPr>
          <w:sz w:val="22"/>
          <w:szCs w:val="22"/>
        </w:rPr>
        <w:t>6</w:t>
      </w:r>
      <w:r w:rsidR="006C420D">
        <w:rPr>
          <w:sz w:val="22"/>
          <w:szCs w:val="22"/>
        </w:rPr>
        <w:t xml:space="preserve"> students </w:t>
      </w:r>
      <w:r w:rsidR="00E864EB">
        <w:rPr>
          <w:sz w:val="22"/>
          <w:szCs w:val="22"/>
        </w:rPr>
        <w:t xml:space="preserve">Fall </w:t>
      </w:r>
      <w:r w:rsidR="006C420D">
        <w:rPr>
          <w:sz w:val="22"/>
          <w:szCs w:val="22"/>
        </w:rPr>
        <w:t xml:space="preserve">the first year. We project </w:t>
      </w:r>
      <w:r>
        <w:rPr>
          <w:sz w:val="22"/>
          <w:szCs w:val="22"/>
        </w:rPr>
        <w:t xml:space="preserve">90% retention </w:t>
      </w:r>
      <w:r w:rsidR="006C420D">
        <w:rPr>
          <w:sz w:val="22"/>
          <w:szCs w:val="22"/>
        </w:rPr>
        <w:t xml:space="preserve">with </w:t>
      </w:r>
      <w:r w:rsidR="0011382E">
        <w:rPr>
          <w:sz w:val="22"/>
          <w:szCs w:val="22"/>
        </w:rPr>
        <w:t>5</w:t>
      </w:r>
      <w:r w:rsidR="006C420D" w:rsidRPr="00A85594">
        <w:rPr>
          <w:sz w:val="22"/>
          <w:szCs w:val="22"/>
        </w:rPr>
        <w:t xml:space="preserve"> students persisting and </w:t>
      </w:r>
      <w:r w:rsidR="0011382E">
        <w:rPr>
          <w:sz w:val="22"/>
          <w:szCs w:val="22"/>
        </w:rPr>
        <w:t>7</w:t>
      </w:r>
      <w:r w:rsidR="006C420D" w:rsidRPr="00A85594">
        <w:rPr>
          <w:sz w:val="22"/>
          <w:szCs w:val="22"/>
        </w:rPr>
        <w:t xml:space="preserve"> students enrolling in year 2, yielding a total of 1</w:t>
      </w:r>
      <w:r w:rsidR="0011382E">
        <w:rPr>
          <w:sz w:val="22"/>
          <w:szCs w:val="22"/>
        </w:rPr>
        <w:t>2</w:t>
      </w:r>
      <w:r w:rsidR="006C420D" w:rsidRPr="00A85594">
        <w:rPr>
          <w:sz w:val="22"/>
          <w:szCs w:val="22"/>
        </w:rPr>
        <w:t xml:space="preserve"> students in the </w:t>
      </w:r>
      <w:r w:rsidR="00EC0068" w:rsidRPr="00A85594">
        <w:rPr>
          <w:sz w:val="22"/>
          <w:szCs w:val="22"/>
        </w:rPr>
        <w:t xml:space="preserve">fall </w:t>
      </w:r>
      <w:r w:rsidR="00E864EB">
        <w:rPr>
          <w:sz w:val="22"/>
          <w:szCs w:val="22"/>
        </w:rPr>
        <w:t xml:space="preserve">and spring </w:t>
      </w:r>
      <w:r w:rsidR="00EC0068" w:rsidRPr="00A85594">
        <w:rPr>
          <w:sz w:val="22"/>
          <w:szCs w:val="22"/>
        </w:rPr>
        <w:t>semester</w:t>
      </w:r>
      <w:r w:rsidR="00E864EB">
        <w:rPr>
          <w:sz w:val="22"/>
          <w:szCs w:val="22"/>
        </w:rPr>
        <w:t>s</w:t>
      </w:r>
      <w:r w:rsidR="00EC0068" w:rsidRPr="00A85594">
        <w:rPr>
          <w:sz w:val="22"/>
          <w:szCs w:val="22"/>
        </w:rPr>
        <w:t xml:space="preserve"> in year </w:t>
      </w:r>
      <w:r w:rsidR="006C420D" w:rsidRPr="00A85594">
        <w:rPr>
          <w:sz w:val="22"/>
          <w:szCs w:val="22"/>
        </w:rPr>
        <w:t xml:space="preserve">2. By year 3 there would be </w:t>
      </w:r>
      <w:r w:rsidR="0011382E">
        <w:rPr>
          <w:sz w:val="22"/>
          <w:szCs w:val="22"/>
        </w:rPr>
        <w:t>5</w:t>
      </w:r>
      <w:r w:rsidR="006C420D" w:rsidRPr="00A85594">
        <w:rPr>
          <w:sz w:val="22"/>
          <w:szCs w:val="22"/>
        </w:rPr>
        <w:t xml:space="preserve"> students persisting from year 1, </w:t>
      </w:r>
      <w:r w:rsidR="0011382E">
        <w:rPr>
          <w:sz w:val="22"/>
          <w:szCs w:val="22"/>
        </w:rPr>
        <w:t>6</w:t>
      </w:r>
      <w:r w:rsidR="006C420D" w:rsidRPr="00A85594">
        <w:rPr>
          <w:sz w:val="22"/>
          <w:szCs w:val="22"/>
        </w:rPr>
        <w:t xml:space="preserve"> students persisting from year 2, and </w:t>
      </w:r>
      <w:r w:rsidR="0011382E">
        <w:rPr>
          <w:sz w:val="22"/>
          <w:szCs w:val="22"/>
        </w:rPr>
        <w:t>8</w:t>
      </w:r>
      <w:r w:rsidR="006C420D" w:rsidRPr="00A85594">
        <w:rPr>
          <w:sz w:val="22"/>
          <w:szCs w:val="22"/>
        </w:rPr>
        <w:t xml:space="preserve"> students enrolling </w:t>
      </w:r>
      <w:r w:rsidR="00E864EB">
        <w:rPr>
          <w:sz w:val="22"/>
          <w:szCs w:val="22"/>
        </w:rPr>
        <w:t xml:space="preserve">in fall year 3. The students who began in year 1 will graduate after fall semester </w:t>
      </w:r>
      <w:r w:rsidR="0040734E">
        <w:rPr>
          <w:sz w:val="22"/>
          <w:szCs w:val="22"/>
        </w:rPr>
        <w:t xml:space="preserve">year 3 </w:t>
      </w:r>
      <w:r w:rsidR="00E864EB">
        <w:rPr>
          <w:sz w:val="22"/>
          <w:szCs w:val="22"/>
        </w:rPr>
        <w:t xml:space="preserve">yielding a total </w:t>
      </w:r>
      <w:r w:rsidR="006C420D" w:rsidRPr="00A85594">
        <w:rPr>
          <w:sz w:val="22"/>
          <w:szCs w:val="22"/>
        </w:rPr>
        <w:t xml:space="preserve">of </w:t>
      </w:r>
      <w:r w:rsidR="00241B11">
        <w:rPr>
          <w:sz w:val="22"/>
          <w:szCs w:val="22"/>
        </w:rPr>
        <w:t>19</w:t>
      </w:r>
      <w:r w:rsidR="006C420D" w:rsidRPr="00A85594">
        <w:rPr>
          <w:sz w:val="22"/>
          <w:szCs w:val="22"/>
        </w:rPr>
        <w:t xml:space="preserve"> students</w:t>
      </w:r>
      <w:r w:rsidR="00E864EB">
        <w:rPr>
          <w:sz w:val="22"/>
          <w:szCs w:val="22"/>
        </w:rPr>
        <w:t xml:space="preserve"> in the f</w:t>
      </w:r>
      <w:r w:rsidR="00241B11">
        <w:rPr>
          <w:sz w:val="22"/>
          <w:szCs w:val="22"/>
        </w:rPr>
        <w:t xml:space="preserve">all and 14 in the </w:t>
      </w:r>
      <w:r w:rsidR="00E864EB">
        <w:rPr>
          <w:sz w:val="22"/>
          <w:szCs w:val="22"/>
        </w:rPr>
        <w:t>s</w:t>
      </w:r>
      <w:r w:rsidR="00241B11">
        <w:rPr>
          <w:sz w:val="22"/>
          <w:szCs w:val="22"/>
        </w:rPr>
        <w:t>pring</w:t>
      </w:r>
      <w:r w:rsidR="00E864EB">
        <w:rPr>
          <w:sz w:val="22"/>
          <w:szCs w:val="22"/>
        </w:rPr>
        <w:t xml:space="preserve">. </w:t>
      </w:r>
      <w:r w:rsidR="006C420D" w:rsidRPr="00A85594">
        <w:rPr>
          <w:sz w:val="22"/>
          <w:szCs w:val="22"/>
        </w:rPr>
        <w:t>Similar patterns are projected for years 4 and 5.</w:t>
      </w:r>
      <w:r w:rsidR="00A8512C" w:rsidRPr="00A85594">
        <w:rPr>
          <w:sz w:val="22"/>
          <w:szCs w:val="22"/>
        </w:rPr>
        <w:t xml:space="preserve"> </w:t>
      </w:r>
      <w:r w:rsidR="006162DA">
        <w:rPr>
          <w:sz w:val="22"/>
          <w:szCs w:val="22"/>
        </w:rPr>
        <w:t>In addition to the projected enrollment figures</w:t>
      </w:r>
      <w:r w:rsidR="004F6FBC">
        <w:rPr>
          <w:sz w:val="22"/>
          <w:szCs w:val="22"/>
        </w:rPr>
        <w:t>,</w:t>
      </w:r>
      <w:r w:rsidR="006162DA">
        <w:rPr>
          <w:sz w:val="22"/>
          <w:szCs w:val="22"/>
        </w:rPr>
        <w:t xml:space="preserve"> we have added the expected graduation rate</w:t>
      </w:r>
      <w:r w:rsidR="004F6FBC">
        <w:rPr>
          <w:sz w:val="22"/>
          <w:szCs w:val="22"/>
        </w:rPr>
        <w:t xml:space="preserve"> at approximately 40 percent</w:t>
      </w:r>
      <w:r w:rsidR="006162DA">
        <w:rPr>
          <w:sz w:val="22"/>
          <w:szCs w:val="22"/>
        </w:rPr>
        <w:t xml:space="preserve"> </w:t>
      </w:r>
      <w:r w:rsidR="004F6FBC">
        <w:rPr>
          <w:sz w:val="22"/>
          <w:szCs w:val="22"/>
        </w:rPr>
        <w:t>for the first five years of this new program. This graduat</w:t>
      </w:r>
      <w:r w:rsidR="00887DCD">
        <w:rPr>
          <w:sz w:val="22"/>
          <w:szCs w:val="22"/>
        </w:rPr>
        <w:t>ion</w:t>
      </w:r>
      <w:r w:rsidR="004F6FBC">
        <w:rPr>
          <w:sz w:val="22"/>
          <w:szCs w:val="22"/>
        </w:rPr>
        <w:t xml:space="preserve"> rate is comparable to other AOS program graduation rates </w:t>
      </w:r>
      <w:r w:rsidR="006162DA">
        <w:rPr>
          <w:sz w:val="22"/>
          <w:szCs w:val="22"/>
        </w:rPr>
        <w:t xml:space="preserve">as </w:t>
      </w:r>
      <w:r w:rsidR="004F6FBC">
        <w:rPr>
          <w:sz w:val="22"/>
          <w:szCs w:val="22"/>
        </w:rPr>
        <w:t>shown in an Appendix B.</w:t>
      </w:r>
    </w:p>
    <w:tbl>
      <w:tblPr>
        <w:tblStyle w:val="TableGrid"/>
        <w:tblpPr w:leftFromText="180" w:rightFromText="180" w:vertAnchor="text" w:horzAnchor="margin" w:tblpXSpec="center" w:tblpY="-21"/>
        <w:tblW w:w="0" w:type="auto"/>
        <w:tblLook w:val="04A0" w:firstRow="1" w:lastRow="0" w:firstColumn="1" w:lastColumn="0" w:noHBand="0" w:noVBand="1"/>
      </w:tblPr>
      <w:tblGrid>
        <w:gridCol w:w="2712"/>
        <w:gridCol w:w="1027"/>
        <w:gridCol w:w="1077"/>
        <w:gridCol w:w="1077"/>
        <w:gridCol w:w="1027"/>
        <w:gridCol w:w="1027"/>
      </w:tblGrid>
      <w:tr w:rsidR="004F6FBC" w14:paraId="4FD3A11C" w14:textId="77777777" w:rsidTr="004F6FBC">
        <w:tc>
          <w:tcPr>
            <w:tcW w:w="0" w:type="auto"/>
            <w:vAlign w:val="center"/>
          </w:tcPr>
          <w:p w14:paraId="25D03C8E" w14:textId="77777777" w:rsidR="004F6FBC" w:rsidRPr="009B766A" w:rsidRDefault="004F6FBC" w:rsidP="004F6FBC">
            <w:pPr>
              <w:jc w:val="center"/>
              <w:rPr>
                <w:b/>
                <w:sz w:val="22"/>
                <w:szCs w:val="22"/>
              </w:rPr>
            </w:pPr>
            <w:r w:rsidRPr="009B766A">
              <w:rPr>
                <w:b/>
                <w:sz w:val="22"/>
                <w:szCs w:val="22"/>
              </w:rPr>
              <w:lastRenderedPageBreak/>
              <w:t>Enrollment</w:t>
            </w:r>
          </w:p>
        </w:tc>
        <w:tc>
          <w:tcPr>
            <w:tcW w:w="0" w:type="auto"/>
            <w:vAlign w:val="center"/>
          </w:tcPr>
          <w:p w14:paraId="40AFD872" w14:textId="0396AA3C" w:rsidR="004F6FBC" w:rsidRPr="009B766A" w:rsidRDefault="007B4497" w:rsidP="004F6FBC">
            <w:pPr>
              <w:jc w:val="center"/>
              <w:rPr>
                <w:b/>
                <w:sz w:val="22"/>
                <w:szCs w:val="22"/>
              </w:rPr>
            </w:pPr>
            <w:r>
              <w:rPr>
                <w:b/>
                <w:sz w:val="22"/>
                <w:szCs w:val="22"/>
              </w:rPr>
              <w:t>Year 1</w:t>
            </w:r>
            <w:r>
              <w:rPr>
                <w:b/>
                <w:sz w:val="22"/>
                <w:szCs w:val="22"/>
              </w:rPr>
              <w:br/>
              <w:t>AY 19-20</w:t>
            </w:r>
          </w:p>
        </w:tc>
        <w:tc>
          <w:tcPr>
            <w:tcW w:w="0" w:type="auto"/>
            <w:vAlign w:val="center"/>
          </w:tcPr>
          <w:p w14:paraId="350F647B" w14:textId="3A197D1D" w:rsidR="004F6FBC" w:rsidRPr="009B766A" w:rsidRDefault="004F6FBC" w:rsidP="004F6FBC">
            <w:pPr>
              <w:jc w:val="center"/>
              <w:rPr>
                <w:b/>
                <w:sz w:val="22"/>
                <w:szCs w:val="22"/>
              </w:rPr>
            </w:pPr>
            <w:r w:rsidRPr="009B766A">
              <w:rPr>
                <w:b/>
                <w:sz w:val="22"/>
                <w:szCs w:val="22"/>
              </w:rPr>
              <w:t>Year 2</w:t>
            </w:r>
            <w:r w:rsidRPr="009B766A">
              <w:rPr>
                <w:b/>
                <w:sz w:val="22"/>
                <w:szCs w:val="22"/>
              </w:rPr>
              <w:br/>
            </w:r>
            <w:r w:rsidR="007B4497" w:rsidRPr="009B766A">
              <w:rPr>
                <w:b/>
                <w:sz w:val="22"/>
                <w:szCs w:val="22"/>
              </w:rPr>
              <w:t xml:space="preserve"> AY 20-21</w:t>
            </w:r>
          </w:p>
        </w:tc>
        <w:tc>
          <w:tcPr>
            <w:tcW w:w="0" w:type="auto"/>
            <w:vAlign w:val="center"/>
          </w:tcPr>
          <w:p w14:paraId="2A8E9F12" w14:textId="14995CDC" w:rsidR="004F6FBC" w:rsidRPr="009B766A" w:rsidRDefault="004F6FBC" w:rsidP="004F6FBC">
            <w:pPr>
              <w:jc w:val="center"/>
              <w:rPr>
                <w:b/>
                <w:sz w:val="22"/>
                <w:szCs w:val="22"/>
              </w:rPr>
            </w:pPr>
            <w:r w:rsidRPr="009B766A">
              <w:rPr>
                <w:b/>
                <w:sz w:val="22"/>
                <w:szCs w:val="22"/>
              </w:rPr>
              <w:t>Year 3</w:t>
            </w:r>
            <w:r w:rsidRPr="009B766A">
              <w:rPr>
                <w:b/>
                <w:sz w:val="22"/>
                <w:szCs w:val="22"/>
              </w:rPr>
              <w:br/>
            </w:r>
            <w:r w:rsidR="007B4497" w:rsidRPr="009B766A">
              <w:rPr>
                <w:b/>
                <w:sz w:val="22"/>
                <w:szCs w:val="22"/>
              </w:rPr>
              <w:t xml:space="preserve"> AY 21-22</w:t>
            </w:r>
          </w:p>
        </w:tc>
        <w:tc>
          <w:tcPr>
            <w:tcW w:w="0" w:type="auto"/>
            <w:vAlign w:val="center"/>
          </w:tcPr>
          <w:p w14:paraId="3C794DF4" w14:textId="2DC98334" w:rsidR="004F6FBC" w:rsidRPr="009B766A" w:rsidRDefault="007B4497" w:rsidP="004F6FBC">
            <w:pPr>
              <w:jc w:val="center"/>
              <w:rPr>
                <w:b/>
                <w:sz w:val="22"/>
                <w:szCs w:val="22"/>
              </w:rPr>
            </w:pPr>
            <w:r>
              <w:rPr>
                <w:b/>
                <w:sz w:val="22"/>
                <w:szCs w:val="22"/>
              </w:rPr>
              <w:t>Year 4</w:t>
            </w:r>
            <w:r>
              <w:rPr>
                <w:b/>
                <w:sz w:val="22"/>
                <w:szCs w:val="22"/>
              </w:rPr>
              <w:br/>
              <w:t>AY 22-23</w:t>
            </w:r>
          </w:p>
        </w:tc>
        <w:tc>
          <w:tcPr>
            <w:tcW w:w="0" w:type="auto"/>
            <w:vAlign w:val="center"/>
          </w:tcPr>
          <w:p w14:paraId="14B0705F" w14:textId="2ACCA7A3" w:rsidR="004F6FBC" w:rsidRPr="009B766A" w:rsidRDefault="007B4497" w:rsidP="004F6FBC">
            <w:pPr>
              <w:jc w:val="center"/>
              <w:rPr>
                <w:b/>
                <w:sz w:val="22"/>
                <w:szCs w:val="22"/>
              </w:rPr>
            </w:pPr>
            <w:r>
              <w:rPr>
                <w:b/>
                <w:sz w:val="22"/>
                <w:szCs w:val="22"/>
              </w:rPr>
              <w:t>Year 5</w:t>
            </w:r>
            <w:r>
              <w:rPr>
                <w:b/>
                <w:sz w:val="22"/>
                <w:szCs w:val="22"/>
              </w:rPr>
              <w:br/>
              <w:t>AY 23-24</w:t>
            </w:r>
          </w:p>
        </w:tc>
      </w:tr>
      <w:tr w:rsidR="004F6FBC" w14:paraId="1E168202" w14:textId="77777777" w:rsidTr="004F6FBC">
        <w:tc>
          <w:tcPr>
            <w:tcW w:w="0" w:type="auto"/>
          </w:tcPr>
          <w:p w14:paraId="04D89CA5" w14:textId="77777777" w:rsidR="004F6FBC" w:rsidRDefault="004F6FBC" w:rsidP="004F6FBC">
            <w:pPr>
              <w:rPr>
                <w:sz w:val="22"/>
                <w:szCs w:val="22"/>
              </w:rPr>
            </w:pPr>
            <w:r>
              <w:rPr>
                <w:sz w:val="22"/>
                <w:szCs w:val="22"/>
              </w:rPr>
              <w:t>Enrollment Fall Semester</w:t>
            </w:r>
          </w:p>
        </w:tc>
        <w:tc>
          <w:tcPr>
            <w:tcW w:w="0" w:type="auto"/>
          </w:tcPr>
          <w:p w14:paraId="04FE27E2" w14:textId="77777777" w:rsidR="004F6FBC" w:rsidRDefault="004F6FBC" w:rsidP="004F6FBC">
            <w:pPr>
              <w:jc w:val="center"/>
              <w:rPr>
                <w:sz w:val="22"/>
                <w:szCs w:val="22"/>
              </w:rPr>
            </w:pPr>
            <w:r>
              <w:rPr>
                <w:sz w:val="22"/>
                <w:szCs w:val="22"/>
              </w:rPr>
              <w:t>6</w:t>
            </w:r>
          </w:p>
        </w:tc>
        <w:tc>
          <w:tcPr>
            <w:tcW w:w="0" w:type="auto"/>
          </w:tcPr>
          <w:p w14:paraId="254CB696" w14:textId="77777777" w:rsidR="004F6FBC" w:rsidRDefault="004F6FBC" w:rsidP="004F6FBC">
            <w:pPr>
              <w:jc w:val="center"/>
              <w:rPr>
                <w:sz w:val="22"/>
                <w:szCs w:val="22"/>
              </w:rPr>
            </w:pPr>
            <w:r>
              <w:rPr>
                <w:sz w:val="22"/>
                <w:szCs w:val="22"/>
              </w:rPr>
              <w:t>12</w:t>
            </w:r>
          </w:p>
        </w:tc>
        <w:tc>
          <w:tcPr>
            <w:tcW w:w="0" w:type="auto"/>
          </w:tcPr>
          <w:p w14:paraId="0B0555C9" w14:textId="77777777" w:rsidR="004F6FBC" w:rsidRDefault="004F6FBC" w:rsidP="004F6FBC">
            <w:pPr>
              <w:jc w:val="center"/>
              <w:rPr>
                <w:sz w:val="22"/>
                <w:szCs w:val="22"/>
              </w:rPr>
            </w:pPr>
            <w:r>
              <w:rPr>
                <w:sz w:val="22"/>
                <w:szCs w:val="22"/>
              </w:rPr>
              <w:t>19</w:t>
            </w:r>
          </w:p>
        </w:tc>
        <w:tc>
          <w:tcPr>
            <w:tcW w:w="0" w:type="auto"/>
          </w:tcPr>
          <w:p w14:paraId="66B8C9D2" w14:textId="77777777" w:rsidR="004F6FBC" w:rsidRDefault="004F6FBC" w:rsidP="004F6FBC">
            <w:pPr>
              <w:jc w:val="center"/>
              <w:rPr>
                <w:sz w:val="22"/>
                <w:szCs w:val="22"/>
              </w:rPr>
            </w:pPr>
            <w:r>
              <w:rPr>
                <w:sz w:val="22"/>
                <w:szCs w:val="22"/>
              </w:rPr>
              <w:t>22</w:t>
            </w:r>
          </w:p>
        </w:tc>
        <w:tc>
          <w:tcPr>
            <w:tcW w:w="0" w:type="auto"/>
          </w:tcPr>
          <w:p w14:paraId="5A237A45" w14:textId="77777777" w:rsidR="004F6FBC" w:rsidRDefault="004F6FBC" w:rsidP="004F6FBC">
            <w:pPr>
              <w:jc w:val="center"/>
              <w:rPr>
                <w:sz w:val="22"/>
                <w:szCs w:val="22"/>
              </w:rPr>
            </w:pPr>
            <w:r>
              <w:rPr>
                <w:sz w:val="22"/>
                <w:szCs w:val="22"/>
              </w:rPr>
              <w:t>25</w:t>
            </w:r>
          </w:p>
        </w:tc>
      </w:tr>
      <w:tr w:rsidR="004F6FBC" w14:paraId="5B7272D3" w14:textId="77777777" w:rsidTr="004F6FBC">
        <w:tc>
          <w:tcPr>
            <w:tcW w:w="0" w:type="auto"/>
          </w:tcPr>
          <w:p w14:paraId="60865181" w14:textId="77777777" w:rsidR="004F6FBC" w:rsidRDefault="004F6FBC" w:rsidP="004F6FBC">
            <w:pPr>
              <w:rPr>
                <w:sz w:val="22"/>
                <w:szCs w:val="22"/>
              </w:rPr>
            </w:pPr>
            <w:r>
              <w:rPr>
                <w:sz w:val="22"/>
                <w:szCs w:val="22"/>
              </w:rPr>
              <w:t>Enrollment Spring Semester</w:t>
            </w:r>
          </w:p>
        </w:tc>
        <w:tc>
          <w:tcPr>
            <w:tcW w:w="0" w:type="auto"/>
          </w:tcPr>
          <w:p w14:paraId="1BF1A658" w14:textId="77777777" w:rsidR="004F6FBC" w:rsidRDefault="004F6FBC" w:rsidP="004F6FBC">
            <w:pPr>
              <w:jc w:val="center"/>
              <w:rPr>
                <w:sz w:val="22"/>
                <w:szCs w:val="22"/>
              </w:rPr>
            </w:pPr>
            <w:r>
              <w:rPr>
                <w:sz w:val="22"/>
                <w:szCs w:val="22"/>
              </w:rPr>
              <w:t>6</w:t>
            </w:r>
          </w:p>
        </w:tc>
        <w:tc>
          <w:tcPr>
            <w:tcW w:w="0" w:type="auto"/>
          </w:tcPr>
          <w:p w14:paraId="208747B3" w14:textId="77777777" w:rsidR="004F6FBC" w:rsidRDefault="004F6FBC" w:rsidP="004F6FBC">
            <w:pPr>
              <w:jc w:val="center"/>
              <w:rPr>
                <w:sz w:val="22"/>
                <w:szCs w:val="22"/>
              </w:rPr>
            </w:pPr>
            <w:r>
              <w:rPr>
                <w:sz w:val="22"/>
                <w:szCs w:val="22"/>
              </w:rPr>
              <w:t>12</w:t>
            </w:r>
          </w:p>
        </w:tc>
        <w:tc>
          <w:tcPr>
            <w:tcW w:w="0" w:type="auto"/>
          </w:tcPr>
          <w:p w14:paraId="00D66DAE" w14:textId="77777777" w:rsidR="004F6FBC" w:rsidRDefault="004F6FBC" w:rsidP="004F6FBC">
            <w:pPr>
              <w:jc w:val="center"/>
              <w:rPr>
                <w:sz w:val="22"/>
                <w:szCs w:val="22"/>
              </w:rPr>
            </w:pPr>
            <w:r>
              <w:rPr>
                <w:sz w:val="22"/>
                <w:szCs w:val="22"/>
              </w:rPr>
              <w:t>14</w:t>
            </w:r>
          </w:p>
        </w:tc>
        <w:tc>
          <w:tcPr>
            <w:tcW w:w="0" w:type="auto"/>
          </w:tcPr>
          <w:p w14:paraId="3D3A62E9" w14:textId="77777777" w:rsidR="004F6FBC" w:rsidRDefault="004F6FBC" w:rsidP="004F6FBC">
            <w:pPr>
              <w:jc w:val="center"/>
              <w:rPr>
                <w:sz w:val="22"/>
                <w:szCs w:val="22"/>
              </w:rPr>
            </w:pPr>
            <w:r>
              <w:rPr>
                <w:sz w:val="22"/>
                <w:szCs w:val="22"/>
              </w:rPr>
              <w:t>16</w:t>
            </w:r>
          </w:p>
        </w:tc>
        <w:tc>
          <w:tcPr>
            <w:tcW w:w="0" w:type="auto"/>
          </w:tcPr>
          <w:p w14:paraId="03F14F0E" w14:textId="77777777" w:rsidR="004F6FBC" w:rsidRDefault="004F6FBC" w:rsidP="004F6FBC">
            <w:pPr>
              <w:jc w:val="center"/>
              <w:rPr>
                <w:sz w:val="22"/>
                <w:szCs w:val="22"/>
              </w:rPr>
            </w:pPr>
            <w:r>
              <w:rPr>
                <w:sz w:val="22"/>
                <w:szCs w:val="22"/>
              </w:rPr>
              <w:t>18</w:t>
            </w:r>
          </w:p>
        </w:tc>
      </w:tr>
    </w:tbl>
    <w:p w14:paraId="50ABDEF8" w14:textId="77777777" w:rsidR="004F6FBC" w:rsidRDefault="004F6FBC" w:rsidP="00A85594">
      <w:pPr>
        <w:spacing w:after="240"/>
        <w:ind w:left="360"/>
        <w:rPr>
          <w:sz w:val="22"/>
          <w:szCs w:val="22"/>
        </w:rPr>
      </w:pPr>
    </w:p>
    <w:p w14:paraId="6C95B385" w14:textId="77777777" w:rsidR="004F6FBC" w:rsidRDefault="004F6FBC" w:rsidP="00A85594">
      <w:pPr>
        <w:spacing w:after="240"/>
        <w:ind w:left="360"/>
        <w:rPr>
          <w:sz w:val="22"/>
          <w:szCs w:val="22"/>
        </w:rPr>
      </w:pPr>
    </w:p>
    <w:p w14:paraId="2D525EAF" w14:textId="678A8D61" w:rsidR="004F6FBC" w:rsidRDefault="004F6FBC" w:rsidP="00887DCD">
      <w:pPr>
        <w:spacing w:after="240"/>
        <w:rPr>
          <w:sz w:val="22"/>
          <w:szCs w:val="22"/>
        </w:rPr>
      </w:pPr>
    </w:p>
    <w:p w14:paraId="4C071EF7" w14:textId="77777777" w:rsidR="00D224D2" w:rsidRPr="00C90828" w:rsidRDefault="00D224D2" w:rsidP="00A35929">
      <w:pPr>
        <w:pStyle w:val="ListParagraph"/>
        <w:numPr>
          <w:ilvl w:val="0"/>
          <w:numId w:val="5"/>
        </w:numPr>
        <w:spacing w:before="240" w:after="0"/>
        <w:ind w:left="450" w:hanging="450"/>
        <w:rPr>
          <w:rFonts w:eastAsiaTheme="minorEastAsia"/>
          <w:b/>
          <w:color w:val="8496B0" w:themeColor="text2" w:themeTint="99"/>
          <w:sz w:val="24"/>
          <w:szCs w:val="24"/>
          <w:lang w:eastAsia="ja-JP"/>
        </w:rPr>
      </w:pPr>
      <w:r w:rsidRPr="00C90828">
        <w:rPr>
          <w:rFonts w:eastAsiaTheme="minorEastAsia"/>
          <w:b/>
          <w:color w:val="8496B0" w:themeColor="text2" w:themeTint="99"/>
          <w:sz w:val="24"/>
          <w:szCs w:val="24"/>
          <w:lang w:eastAsia="ja-JP"/>
        </w:rPr>
        <w:t xml:space="preserve">Impact of Resources </w:t>
      </w:r>
    </w:p>
    <w:p w14:paraId="483BB6D5" w14:textId="6064DF80" w:rsidR="00894CE9" w:rsidRDefault="0018483C" w:rsidP="00C90828">
      <w:pPr>
        <w:spacing w:after="240"/>
        <w:ind w:left="360"/>
        <w:rPr>
          <w:sz w:val="22"/>
          <w:szCs w:val="22"/>
        </w:rPr>
      </w:pPr>
      <w:r w:rsidRPr="00ED3C87">
        <w:rPr>
          <w:sz w:val="22"/>
          <w:szCs w:val="22"/>
        </w:rPr>
        <w:t>One faculty member</w:t>
      </w:r>
      <w:r w:rsidRPr="00894CE9">
        <w:rPr>
          <w:sz w:val="22"/>
          <w:szCs w:val="22"/>
        </w:rPr>
        <w:t xml:space="preserve"> within the </w:t>
      </w:r>
      <w:r>
        <w:rPr>
          <w:sz w:val="22"/>
          <w:szCs w:val="22"/>
        </w:rPr>
        <w:t>Business Studies Department</w:t>
      </w:r>
      <w:r w:rsidRPr="00894CE9">
        <w:rPr>
          <w:sz w:val="22"/>
          <w:szCs w:val="22"/>
        </w:rPr>
        <w:t xml:space="preserve"> ha</w:t>
      </w:r>
      <w:r>
        <w:rPr>
          <w:sz w:val="22"/>
          <w:szCs w:val="22"/>
        </w:rPr>
        <w:t>s</w:t>
      </w:r>
      <w:r w:rsidRPr="00894CE9">
        <w:rPr>
          <w:sz w:val="22"/>
          <w:szCs w:val="22"/>
        </w:rPr>
        <w:t xml:space="preserve"> sufficient </w:t>
      </w:r>
      <w:r>
        <w:rPr>
          <w:sz w:val="22"/>
          <w:szCs w:val="22"/>
        </w:rPr>
        <w:t>credentials/</w:t>
      </w:r>
      <w:r w:rsidRPr="00894CE9">
        <w:rPr>
          <w:sz w:val="22"/>
          <w:szCs w:val="22"/>
        </w:rPr>
        <w:t xml:space="preserve">expertise to teach </w:t>
      </w:r>
      <w:r>
        <w:rPr>
          <w:sz w:val="22"/>
          <w:szCs w:val="22"/>
        </w:rPr>
        <w:t xml:space="preserve">up to five </w:t>
      </w:r>
      <w:r w:rsidR="00ED3C87">
        <w:rPr>
          <w:sz w:val="22"/>
          <w:szCs w:val="22"/>
        </w:rPr>
        <w:t>of the technical courses in the program mask</w:t>
      </w:r>
      <w:r w:rsidRPr="00894CE9">
        <w:rPr>
          <w:sz w:val="22"/>
          <w:szCs w:val="22"/>
        </w:rPr>
        <w:t xml:space="preserve">. </w:t>
      </w:r>
      <w:r>
        <w:rPr>
          <w:sz w:val="22"/>
          <w:szCs w:val="22"/>
        </w:rPr>
        <w:t>However, this individual’s time will be divided between direct instruction in th</w:t>
      </w:r>
      <w:r w:rsidR="00ED3C87">
        <w:rPr>
          <w:sz w:val="22"/>
          <w:szCs w:val="22"/>
        </w:rPr>
        <w:t>e</w:t>
      </w:r>
      <w:r>
        <w:rPr>
          <w:sz w:val="22"/>
          <w:szCs w:val="22"/>
        </w:rPr>
        <w:t xml:space="preserve"> AOS program and tutoring students in the AS/BS in International Hospitality and Service Management. </w:t>
      </w:r>
      <w:r w:rsidR="00B02E66">
        <w:rPr>
          <w:sz w:val="22"/>
          <w:szCs w:val="22"/>
        </w:rPr>
        <w:t xml:space="preserve">The Business Studies Department </w:t>
      </w:r>
      <w:r w:rsidR="00E23BDC">
        <w:rPr>
          <w:sz w:val="22"/>
          <w:szCs w:val="22"/>
        </w:rPr>
        <w:t>will need to hire</w:t>
      </w:r>
      <w:r w:rsidR="005224FF">
        <w:rPr>
          <w:sz w:val="22"/>
          <w:szCs w:val="22"/>
        </w:rPr>
        <w:t xml:space="preserve"> </w:t>
      </w:r>
      <w:r>
        <w:rPr>
          <w:sz w:val="22"/>
          <w:szCs w:val="22"/>
        </w:rPr>
        <w:t xml:space="preserve">an additional </w:t>
      </w:r>
      <w:r w:rsidR="005224FF">
        <w:rPr>
          <w:sz w:val="22"/>
          <w:szCs w:val="22"/>
        </w:rPr>
        <w:t>1.5</w:t>
      </w:r>
      <w:r w:rsidR="00B02E66" w:rsidRPr="00B310F4">
        <w:rPr>
          <w:sz w:val="22"/>
          <w:szCs w:val="22"/>
        </w:rPr>
        <w:t xml:space="preserve"> </w:t>
      </w:r>
      <w:r w:rsidR="00B02E66" w:rsidRPr="00B02E66">
        <w:rPr>
          <w:sz w:val="22"/>
          <w:szCs w:val="22"/>
        </w:rPr>
        <w:t>new lecturer</w:t>
      </w:r>
      <w:r w:rsidR="00065B35">
        <w:rPr>
          <w:sz w:val="22"/>
          <w:szCs w:val="22"/>
        </w:rPr>
        <w:t>s</w:t>
      </w:r>
      <w:r w:rsidR="00B02E66">
        <w:rPr>
          <w:sz w:val="22"/>
          <w:szCs w:val="22"/>
        </w:rPr>
        <w:t xml:space="preserve"> </w:t>
      </w:r>
      <w:r w:rsidR="00E23BDC">
        <w:rPr>
          <w:sz w:val="22"/>
          <w:szCs w:val="22"/>
        </w:rPr>
        <w:t xml:space="preserve">to begin </w:t>
      </w:r>
      <w:r w:rsidR="00B02E66">
        <w:rPr>
          <w:sz w:val="22"/>
          <w:szCs w:val="22"/>
        </w:rPr>
        <w:t xml:space="preserve">work </w:t>
      </w:r>
      <w:r w:rsidR="00E23BDC">
        <w:rPr>
          <w:sz w:val="22"/>
          <w:szCs w:val="22"/>
        </w:rPr>
        <w:t xml:space="preserve">in </w:t>
      </w:r>
      <w:r w:rsidR="00570A62">
        <w:rPr>
          <w:sz w:val="22"/>
          <w:szCs w:val="22"/>
        </w:rPr>
        <w:t>AY</w:t>
      </w:r>
      <w:r w:rsidR="00B02E66">
        <w:rPr>
          <w:sz w:val="22"/>
          <w:szCs w:val="22"/>
        </w:rPr>
        <w:t xml:space="preserve"> 201</w:t>
      </w:r>
      <w:r w:rsidR="003359C6">
        <w:rPr>
          <w:sz w:val="22"/>
          <w:szCs w:val="22"/>
        </w:rPr>
        <w:t>9</w:t>
      </w:r>
      <w:r w:rsidR="00570A62">
        <w:rPr>
          <w:sz w:val="22"/>
          <w:szCs w:val="22"/>
        </w:rPr>
        <w:t>-20</w:t>
      </w:r>
      <w:r w:rsidR="00B02E66">
        <w:rPr>
          <w:sz w:val="22"/>
          <w:szCs w:val="22"/>
        </w:rPr>
        <w:t xml:space="preserve">. </w:t>
      </w:r>
      <w:r w:rsidR="00E23BDC">
        <w:rPr>
          <w:sz w:val="22"/>
          <w:szCs w:val="22"/>
        </w:rPr>
        <w:t xml:space="preserve">These faculty members will </w:t>
      </w:r>
      <w:r w:rsidR="00A50216">
        <w:rPr>
          <w:sz w:val="22"/>
          <w:szCs w:val="22"/>
        </w:rPr>
        <w:t xml:space="preserve">primarily </w:t>
      </w:r>
      <w:r w:rsidR="00E23BDC">
        <w:rPr>
          <w:sz w:val="22"/>
          <w:szCs w:val="22"/>
        </w:rPr>
        <w:t xml:space="preserve">teach the </w:t>
      </w:r>
      <w:r w:rsidR="00902E65">
        <w:rPr>
          <w:sz w:val="22"/>
          <w:szCs w:val="22"/>
        </w:rPr>
        <w:t>seven</w:t>
      </w:r>
      <w:r>
        <w:rPr>
          <w:sz w:val="22"/>
          <w:szCs w:val="22"/>
        </w:rPr>
        <w:t xml:space="preserve"> </w:t>
      </w:r>
      <w:r w:rsidR="00E23BDC">
        <w:rPr>
          <w:sz w:val="22"/>
          <w:szCs w:val="22"/>
        </w:rPr>
        <w:t>(</w:t>
      </w:r>
      <w:r w:rsidR="00902E65">
        <w:rPr>
          <w:sz w:val="22"/>
          <w:szCs w:val="22"/>
        </w:rPr>
        <w:t>7</w:t>
      </w:r>
      <w:r w:rsidR="00E23BDC">
        <w:rPr>
          <w:sz w:val="22"/>
          <w:szCs w:val="22"/>
        </w:rPr>
        <w:t xml:space="preserve">) culinary arts </w:t>
      </w:r>
      <w:r w:rsidR="00A50216">
        <w:rPr>
          <w:sz w:val="22"/>
          <w:szCs w:val="22"/>
        </w:rPr>
        <w:t xml:space="preserve">lab-based food-prep courses shown in the program mask. </w:t>
      </w:r>
      <w:r w:rsidR="00ED3C87">
        <w:rPr>
          <w:sz w:val="22"/>
          <w:szCs w:val="22"/>
        </w:rPr>
        <w:t>These lab-based food-prep courses require unique set</w:t>
      </w:r>
      <w:r w:rsidR="002E5B25">
        <w:rPr>
          <w:sz w:val="22"/>
          <w:szCs w:val="22"/>
        </w:rPr>
        <w:t>s</w:t>
      </w:r>
      <w:r w:rsidR="00ED3C87">
        <w:rPr>
          <w:sz w:val="22"/>
          <w:szCs w:val="22"/>
        </w:rPr>
        <w:t xml:space="preserve"> of culinary arts skills. In addition</w:t>
      </w:r>
      <w:r w:rsidR="00A50216">
        <w:rPr>
          <w:sz w:val="22"/>
          <w:szCs w:val="22"/>
        </w:rPr>
        <w:t xml:space="preserve">, any courses not covered by the current </w:t>
      </w:r>
      <w:r w:rsidR="002E5B25">
        <w:rPr>
          <w:sz w:val="22"/>
          <w:szCs w:val="22"/>
        </w:rPr>
        <w:t xml:space="preserve">tenured </w:t>
      </w:r>
      <w:r w:rsidR="00A50216">
        <w:rPr>
          <w:sz w:val="22"/>
          <w:szCs w:val="22"/>
        </w:rPr>
        <w:t xml:space="preserve">faculty member will need to be </w:t>
      </w:r>
      <w:r w:rsidR="002E5B25">
        <w:rPr>
          <w:sz w:val="22"/>
          <w:szCs w:val="22"/>
        </w:rPr>
        <w:t>covered by</w:t>
      </w:r>
      <w:r w:rsidR="00ED3C87">
        <w:rPr>
          <w:sz w:val="22"/>
          <w:szCs w:val="22"/>
        </w:rPr>
        <w:t xml:space="preserve"> </w:t>
      </w:r>
      <w:r w:rsidR="00A50216">
        <w:rPr>
          <w:sz w:val="22"/>
          <w:szCs w:val="22"/>
        </w:rPr>
        <w:t>our new lecturers</w:t>
      </w:r>
      <w:r w:rsidR="00E23BDC">
        <w:rPr>
          <w:sz w:val="22"/>
          <w:szCs w:val="22"/>
        </w:rPr>
        <w:t>.</w:t>
      </w:r>
      <w:r w:rsidR="00ED3C87">
        <w:rPr>
          <w:sz w:val="22"/>
          <w:szCs w:val="22"/>
        </w:rPr>
        <w:t xml:space="preserve"> </w:t>
      </w:r>
      <w:r w:rsidR="00E23BDC">
        <w:rPr>
          <w:sz w:val="22"/>
          <w:szCs w:val="22"/>
        </w:rPr>
        <w:t xml:space="preserve">We </w:t>
      </w:r>
      <w:r w:rsidR="00ED3C87">
        <w:rPr>
          <w:sz w:val="22"/>
          <w:szCs w:val="22"/>
        </w:rPr>
        <w:t xml:space="preserve">already </w:t>
      </w:r>
      <w:r w:rsidR="00E23BDC">
        <w:rPr>
          <w:sz w:val="22"/>
          <w:szCs w:val="22"/>
        </w:rPr>
        <w:t xml:space="preserve">have the necessary faculty needed to cover </w:t>
      </w:r>
      <w:r w:rsidR="003C16E3">
        <w:rPr>
          <w:sz w:val="22"/>
          <w:szCs w:val="22"/>
        </w:rPr>
        <w:t>the t</w:t>
      </w:r>
      <w:r w:rsidR="00B310F4">
        <w:rPr>
          <w:sz w:val="22"/>
          <w:szCs w:val="22"/>
        </w:rPr>
        <w:t>wo</w:t>
      </w:r>
      <w:r w:rsidR="003C16E3">
        <w:rPr>
          <w:sz w:val="22"/>
          <w:szCs w:val="22"/>
        </w:rPr>
        <w:t xml:space="preserve"> other business</w:t>
      </w:r>
      <w:r w:rsidR="0039677E">
        <w:rPr>
          <w:sz w:val="22"/>
          <w:szCs w:val="22"/>
        </w:rPr>
        <w:t xml:space="preserve"> courses shown in the mask</w:t>
      </w:r>
      <w:r w:rsidR="00C85C5F">
        <w:rPr>
          <w:sz w:val="22"/>
          <w:szCs w:val="22"/>
        </w:rPr>
        <w:t>,</w:t>
      </w:r>
      <w:r w:rsidR="0039677E">
        <w:rPr>
          <w:sz w:val="22"/>
          <w:szCs w:val="22"/>
        </w:rPr>
        <w:t xml:space="preserve"> </w:t>
      </w:r>
      <w:r w:rsidR="00B310F4">
        <w:rPr>
          <w:sz w:val="22"/>
          <w:szCs w:val="22"/>
        </w:rPr>
        <w:t>one</w:t>
      </w:r>
      <w:r w:rsidR="003C16E3">
        <w:rPr>
          <w:sz w:val="22"/>
          <w:szCs w:val="22"/>
        </w:rPr>
        <w:t xml:space="preserve"> general business (NBUS) course</w:t>
      </w:r>
      <w:r w:rsidR="00E23BDC">
        <w:rPr>
          <w:sz w:val="22"/>
          <w:szCs w:val="22"/>
        </w:rPr>
        <w:t xml:space="preserve"> and one </w:t>
      </w:r>
      <w:r w:rsidR="00474735">
        <w:rPr>
          <w:sz w:val="22"/>
          <w:szCs w:val="22"/>
        </w:rPr>
        <w:t xml:space="preserve">business </w:t>
      </w:r>
      <w:r w:rsidR="00E23BDC">
        <w:rPr>
          <w:sz w:val="22"/>
          <w:szCs w:val="22"/>
        </w:rPr>
        <w:t xml:space="preserve">communication course (NAST). </w:t>
      </w:r>
    </w:p>
    <w:p w14:paraId="35E1DFB2" w14:textId="665EB117" w:rsidR="00B02E66" w:rsidRDefault="00C760DE" w:rsidP="00C90828">
      <w:pPr>
        <w:spacing w:after="240"/>
        <w:ind w:left="360"/>
        <w:rPr>
          <w:sz w:val="22"/>
          <w:szCs w:val="22"/>
        </w:rPr>
      </w:pPr>
      <w:r>
        <w:rPr>
          <w:sz w:val="22"/>
          <w:szCs w:val="22"/>
        </w:rPr>
        <w:t>Within the Business Studies Department</w:t>
      </w:r>
      <w:r w:rsidR="00E23BDC">
        <w:rPr>
          <w:sz w:val="22"/>
          <w:szCs w:val="22"/>
        </w:rPr>
        <w:t>,</w:t>
      </w:r>
      <w:r>
        <w:rPr>
          <w:sz w:val="22"/>
          <w:szCs w:val="22"/>
        </w:rPr>
        <w:t xml:space="preserve"> it is anticipated that there will be a</w:t>
      </w:r>
      <w:r w:rsidR="006B3666">
        <w:rPr>
          <w:sz w:val="22"/>
          <w:szCs w:val="22"/>
        </w:rPr>
        <w:t>nother retirement</w:t>
      </w:r>
      <w:r>
        <w:rPr>
          <w:sz w:val="22"/>
          <w:szCs w:val="22"/>
        </w:rPr>
        <w:t xml:space="preserve"> within the next </w:t>
      </w:r>
      <w:r w:rsidR="00B0211E">
        <w:rPr>
          <w:sz w:val="22"/>
          <w:szCs w:val="22"/>
        </w:rPr>
        <w:t xml:space="preserve">few </w:t>
      </w:r>
      <w:r>
        <w:rPr>
          <w:sz w:val="22"/>
          <w:szCs w:val="22"/>
        </w:rPr>
        <w:t xml:space="preserve">years. </w:t>
      </w:r>
      <w:r w:rsidR="0039677E">
        <w:rPr>
          <w:sz w:val="22"/>
          <w:szCs w:val="22"/>
        </w:rPr>
        <w:t>This</w:t>
      </w:r>
      <w:r>
        <w:rPr>
          <w:sz w:val="22"/>
          <w:szCs w:val="22"/>
        </w:rPr>
        <w:t xml:space="preserve"> retirement </w:t>
      </w:r>
      <w:r w:rsidR="006C2043">
        <w:rPr>
          <w:sz w:val="22"/>
          <w:szCs w:val="22"/>
        </w:rPr>
        <w:t>may</w:t>
      </w:r>
      <w:r>
        <w:rPr>
          <w:sz w:val="22"/>
          <w:szCs w:val="22"/>
        </w:rPr>
        <w:t xml:space="preserve"> impact instruction in </w:t>
      </w:r>
      <w:r w:rsidR="006C2043">
        <w:rPr>
          <w:sz w:val="22"/>
          <w:szCs w:val="22"/>
        </w:rPr>
        <w:t xml:space="preserve">some of </w:t>
      </w:r>
      <w:r w:rsidR="003C16E3">
        <w:rPr>
          <w:sz w:val="22"/>
          <w:szCs w:val="22"/>
        </w:rPr>
        <w:t>our</w:t>
      </w:r>
      <w:r>
        <w:rPr>
          <w:sz w:val="22"/>
          <w:szCs w:val="22"/>
        </w:rPr>
        <w:t xml:space="preserve"> current </w:t>
      </w:r>
      <w:r w:rsidR="00E23BDC">
        <w:rPr>
          <w:sz w:val="22"/>
          <w:szCs w:val="22"/>
        </w:rPr>
        <w:t>AOS/</w:t>
      </w:r>
      <w:r>
        <w:rPr>
          <w:sz w:val="22"/>
          <w:szCs w:val="22"/>
        </w:rPr>
        <w:t>AAS degree program</w:t>
      </w:r>
      <w:r w:rsidR="006B3666">
        <w:rPr>
          <w:sz w:val="22"/>
          <w:szCs w:val="22"/>
        </w:rPr>
        <w:t>s</w:t>
      </w:r>
      <w:r>
        <w:rPr>
          <w:sz w:val="22"/>
          <w:szCs w:val="22"/>
        </w:rPr>
        <w:t xml:space="preserve">. </w:t>
      </w:r>
      <w:r w:rsidR="00A5431E">
        <w:rPr>
          <w:sz w:val="22"/>
          <w:szCs w:val="22"/>
        </w:rPr>
        <w:t>However, b</w:t>
      </w:r>
      <w:r w:rsidR="00065B35">
        <w:rPr>
          <w:sz w:val="22"/>
          <w:szCs w:val="22"/>
        </w:rPr>
        <w:t>y</w:t>
      </w:r>
      <w:r>
        <w:rPr>
          <w:sz w:val="22"/>
          <w:szCs w:val="22"/>
        </w:rPr>
        <w:t xml:space="preserve"> the time this occurs</w:t>
      </w:r>
      <w:r w:rsidR="00A5431E">
        <w:rPr>
          <w:sz w:val="22"/>
          <w:szCs w:val="22"/>
        </w:rPr>
        <w:t>,</w:t>
      </w:r>
      <w:r w:rsidR="006C2043">
        <w:rPr>
          <w:sz w:val="22"/>
          <w:szCs w:val="22"/>
        </w:rPr>
        <w:t xml:space="preserve"> </w:t>
      </w:r>
      <w:r>
        <w:rPr>
          <w:sz w:val="22"/>
          <w:szCs w:val="22"/>
        </w:rPr>
        <w:t xml:space="preserve">the Department will </w:t>
      </w:r>
      <w:r w:rsidR="00065B35">
        <w:rPr>
          <w:sz w:val="22"/>
          <w:szCs w:val="22"/>
        </w:rPr>
        <w:t>be able</w:t>
      </w:r>
      <w:r>
        <w:rPr>
          <w:sz w:val="22"/>
          <w:szCs w:val="22"/>
        </w:rPr>
        <w:t xml:space="preserve"> to </w:t>
      </w:r>
      <w:r w:rsidR="00B0211E">
        <w:rPr>
          <w:sz w:val="22"/>
          <w:szCs w:val="22"/>
        </w:rPr>
        <w:t>determine</w:t>
      </w:r>
      <w:r>
        <w:rPr>
          <w:sz w:val="22"/>
          <w:szCs w:val="22"/>
        </w:rPr>
        <w:t xml:space="preserve"> all instructional needs for specific types of instruction</w:t>
      </w:r>
      <w:r w:rsidR="00065B35">
        <w:rPr>
          <w:sz w:val="22"/>
          <w:szCs w:val="22"/>
        </w:rPr>
        <w:t>al</w:t>
      </w:r>
      <w:r>
        <w:rPr>
          <w:sz w:val="22"/>
          <w:szCs w:val="22"/>
        </w:rPr>
        <w:t xml:space="preserve"> </w:t>
      </w:r>
      <w:r w:rsidR="00065B35">
        <w:rPr>
          <w:sz w:val="22"/>
          <w:szCs w:val="22"/>
        </w:rPr>
        <w:t xml:space="preserve">expertise </w:t>
      </w:r>
      <w:r w:rsidR="006B3666">
        <w:rPr>
          <w:sz w:val="22"/>
          <w:szCs w:val="22"/>
        </w:rPr>
        <w:t>within the a</w:t>
      </w:r>
      <w:r>
        <w:rPr>
          <w:sz w:val="22"/>
          <w:szCs w:val="22"/>
        </w:rPr>
        <w:t>ccounting</w:t>
      </w:r>
      <w:r w:rsidR="006B3666">
        <w:rPr>
          <w:sz w:val="22"/>
          <w:szCs w:val="22"/>
        </w:rPr>
        <w:t>, administrative support</w:t>
      </w:r>
      <w:r>
        <w:rPr>
          <w:sz w:val="22"/>
          <w:szCs w:val="22"/>
        </w:rPr>
        <w:t xml:space="preserve">, </w:t>
      </w:r>
      <w:r w:rsidR="006B3666">
        <w:rPr>
          <w:sz w:val="22"/>
          <w:szCs w:val="22"/>
        </w:rPr>
        <w:t>b</w:t>
      </w:r>
      <w:r>
        <w:rPr>
          <w:sz w:val="22"/>
          <w:szCs w:val="22"/>
        </w:rPr>
        <w:t xml:space="preserve">usiness </w:t>
      </w:r>
      <w:r w:rsidR="006B3666">
        <w:rPr>
          <w:sz w:val="22"/>
          <w:szCs w:val="22"/>
        </w:rPr>
        <w:t>a</w:t>
      </w:r>
      <w:r>
        <w:rPr>
          <w:sz w:val="22"/>
          <w:szCs w:val="22"/>
        </w:rPr>
        <w:t>dm</w:t>
      </w:r>
      <w:r w:rsidR="00B0211E">
        <w:rPr>
          <w:sz w:val="22"/>
          <w:szCs w:val="22"/>
        </w:rPr>
        <w:t>i</w:t>
      </w:r>
      <w:r>
        <w:rPr>
          <w:sz w:val="22"/>
          <w:szCs w:val="22"/>
        </w:rPr>
        <w:t>ni</w:t>
      </w:r>
      <w:r w:rsidR="00B0211E">
        <w:rPr>
          <w:sz w:val="22"/>
          <w:szCs w:val="22"/>
        </w:rPr>
        <w:t>stra</w:t>
      </w:r>
      <w:r w:rsidR="002149F5">
        <w:rPr>
          <w:sz w:val="22"/>
          <w:szCs w:val="22"/>
        </w:rPr>
        <w:t>tion</w:t>
      </w:r>
      <w:r w:rsidR="0039677E">
        <w:rPr>
          <w:sz w:val="22"/>
          <w:szCs w:val="22"/>
        </w:rPr>
        <w:t>,</w:t>
      </w:r>
      <w:r w:rsidR="006B3666">
        <w:rPr>
          <w:sz w:val="22"/>
          <w:szCs w:val="22"/>
        </w:rPr>
        <w:t xml:space="preserve"> and culinary arts</w:t>
      </w:r>
      <w:r w:rsidR="002149F5">
        <w:rPr>
          <w:sz w:val="22"/>
          <w:szCs w:val="22"/>
        </w:rPr>
        <w:t xml:space="preserve"> programs</w:t>
      </w:r>
      <w:r w:rsidR="009901A6">
        <w:rPr>
          <w:sz w:val="22"/>
          <w:szCs w:val="22"/>
        </w:rPr>
        <w:t xml:space="preserve"> so they can be appropriately staffed</w:t>
      </w:r>
      <w:r w:rsidR="002149F5">
        <w:rPr>
          <w:sz w:val="22"/>
          <w:szCs w:val="22"/>
        </w:rPr>
        <w:t xml:space="preserve">. </w:t>
      </w:r>
    </w:p>
    <w:p w14:paraId="354F9318" w14:textId="77777777" w:rsidR="000F52F0" w:rsidRDefault="000F52F0" w:rsidP="000F52F0">
      <w:pPr>
        <w:spacing w:after="240"/>
        <w:ind w:left="360"/>
        <w:rPr>
          <w:sz w:val="22"/>
          <w:szCs w:val="22"/>
        </w:rPr>
      </w:pPr>
      <w:r>
        <w:rPr>
          <w:sz w:val="22"/>
          <w:szCs w:val="22"/>
        </w:rPr>
        <w:t>We are looking at the possibility of repurposing space on the first floor of NTID, east side. This location would place the culinary arts labs close to the Dyer Art Gallery. With the conversion of this space into state-of-the-arts culinary labs</w:t>
      </w:r>
      <w:r w:rsidRPr="006C420D">
        <w:rPr>
          <w:sz w:val="22"/>
          <w:szCs w:val="22"/>
        </w:rPr>
        <w:t xml:space="preserve">, we will </w:t>
      </w:r>
      <w:r>
        <w:rPr>
          <w:sz w:val="22"/>
          <w:szCs w:val="22"/>
        </w:rPr>
        <w:t xml:space="preserve">be able to </w:t>
      </w:r>
      <w:r w:rsidRPr="006C420D">
        <w:rPr>
          <w:sz w:val="22"/>
          <w:szCs w:val="22"/>
        </w:rPr>
        <w:t xml:space="preserve">offer </w:t>
      </w:r>
      <w:r>
        <w:rPr>
          <w:sz w:val="22"/>
          <w:szCs w:val="22"/>
        </w:rPr>
        <w:t>multiple</w:t>
      </w:r>
      <w:r w:rsidRPr="006C420D">
        <w:rPr>
          <w:sz w:val="22"/>
          <w:szCs w:val="22"/>
        </w:rPr>
        <w:t xml:space="preserve"> section</w:t>
      </w:r>
      <w:r>
        <w:rPr>
          <w:sz w:val="22"/>
          <w:szCs w:val="22"/>
        </w:rPr>
        <w:t>s</w:t>
      </w:r>
      <w:r w:rsidRPr="006C420D">
        <w:rPr>
          <w:sz w:val="22"/>
          <w:szCs w:val="22"/>
        </w:rPr>
        <w:t xml:space="preserve"> of our core </w:t>
      </w:r>
      <w:r>
        <w:rPr>
          <w:sz w:val="22"/>
          <w:szCs w:val="22"/>
        </w:rPr>
        <w:t>culinary arts</w:t>
      </w:r>
      <w:r w:rsidRPr="006C420D">
        <w:rPr>
          <w:sz w:val="22"/>
          <w:szCs w:val="22"/>
        </w:rPr>
        <w:t xml:space="preserve"> courses</w:t>
      </w:r>
      <w:r w:rsidR="000B22B1" w:rsidRPr="001D025F">
        <w:rPr>
          <w:sz w:val="22"/>
          <w:szCs w:val="22"/>
        </w:rPr>
        <w:t>. It would be ideal to have 10 to 12 culinary stations for instruction purposes. This design approach wi</w:t>
      </w:r>
      <w:r w:rsidR="00352A4F" w:rsidRPr="001D025F">
        <w:rPr>
          <w:sz w:val="22"/>
          <w:szCs w:val="22"/>
        </w:rPr>
        <w:t>ll</w:t>
      </w:r>
      <w:r w:rsidR="000B22B1" w:rsidRPr="001D025F">
        <w:rPr>
          <w:sz w:val="22"/>
          <w:szCs w:val="22"/>
        </w:rPr>
        <w:t xml:space="preserve"> allow for twice as many students to join the program as currently indicated by the Admissions numbers and additional future growth. </w:t>
      </w:r>
      <w:r w:rsidRPr="001D025F">
        <w:rPr>
          <w:sz w:val="22"/>
          <w:szCs w:val="22"/>
        </w:rPr>
        <w:t>The Business</w:t>
      </w:r>
      <w:r>
        <w:rPr>
          <w:sz w:val="22"/>
          <w:szCs w:val="22"/>
        </w:rPr>
        <w:t xml:space="preserve"> Studies Department has five dedicated computer lab spaces that can be utilized for a couple of the more theoretical culinary courses versus the hands on training needed in the culinary labs</w:t>
      </w:r>
      <w:r w:rsidRPr="006C420D">
        <w:rPr>
          <w:sz w:val="22"/>
          <w:szCs w:val="22"/>
        </w:rPr>
        <w:t>.</w:t>
      </w:r>
    </w:p>
    <w:p w14:paraId="293FB22A" w14:textId="4185E386" w:rsidR="000F52F0" w:rsidRDefault="00ED0B07" w:rsidP="001D025F">
      <w:pPr>
        <w:spacing w:after="240"/>
        <w:ind w:left="360"/>
        <w:rPr>
          <w:sz w:val="22"/>
          <w:szCs w:val="22"/>
        </w:rPr>
      </w:pPr>
      <w:r w:rsidRPr="001D025F">
        <w:rPr>
          <w:sz w:val="22"/>
          <w:szCs w:val="22"/>
        </w:rPr>
        <w:t>Mark Pfuntner</w:t>
      </w:r>
      <w:r w:rsidR="000F52F0" w:rsidRPr="001D025F">
        <w:rPr>
          <w:sz w:val="22"/>
          <w:szCs w:val="22"/>
        </w:rPr>
        <w:t>, a tenured faculty member,</w:t>
      </w:r>
      <w:r w:rsidRPr="001D025F">
        <w:rPr>
          <w:sz w:val="22"/>
          <w:szCs w:val="22"/>
        </w:rPr>
        <w:t xml:space="preserve"> has a large network of business/industry contacts from whom he will seek equipment and monetary donations for the AOS Culinary Arts program. Mark’s background is in Hospitality and Service Management and</w:t>
      </w:r>
      <w:r w:rsidR="000B22B1" w:rsidRPr="001D025F">
        <w:rPr>
          <w:sz w:val="22"/>
          <w:szCs w:val="22"/>
        </w:rPr>
        <w:t xml:space="preserve"> he</w:t>
      </w:r>
      <w:r w:rsidRPr="001D025F">
        <w:rPr>
          <w:sz w:val="22"/>
          <w:szCs w:val="22"/>
        </w:rPr>
        <w:t xml:space="preserve"> has contact </w:t>
      </w:r>
      <w:r w:rsidR="00064C87" w:rsidRPr="001D025F">
        <w:rPr>
          <w:sz w:val="22"/>
          <w:szCs w:val="22"/>
        </w:rPr>
        <w:t xml:space="preserve">with </w:t>
      </w:r>
      <w:r w:rsidR="000B22B1" w:rsidRPr="001D025F">
        <w:rPr>
          <w:sz w:val="22"/>
          <w:szCs w:val="22"/>
        </w:rPr>
        <w:t xml:space="preserve">culinary and hospitality </w:t>
      </w:r>
      <w:r w:rsidR="00064C87" w:rsidRPr="001D025F">
        <w:rPr>
          <w:sz w:val="22"/>
          <w:szCs w:val="22"/>
        </w:rPr>
        <w:t>professionals</w:t>
      </w:r>
      <w:r w:rsidRPr="001D025F">
        <w:rPr>
          <w:sz w:val="22"/>
          <w:szCs w:val="22"/>
        </w:rPr>
        <w:t xml:space="preserve"> on a regular basis</w:t>
      </w:r>
      <w:r w:rsidR="000B22B1" w:rsidRPr="001D025F">
        <w:rPr>
          <w:sz w:val="22"/>
          <w:szCs w:val="22"/>
        </w:rPr>
        <w:t xml:space="preserve">. </w:t>
      </w:r>
      <w:r w:rsidR="000F52F0" w:rsidRPr="001D025F">
        <w:rPr>
          <w:sz w:val="22"/>
          <w:szCs w:val="22"/>
        </w:rPr>
        <w:t>As</w:t>
      </w:r>
      <w:r w:rsidR="000F52F0">
        <w:rPr>
          <w:sz w:val="22"/>
          <w:szCs w:val="22"/>
        </w:rPr>
        <w:t xml:space="preserve"> an adjunct faculty member at MCC, he </w:t>
      </w:r>
      <w:r>
        <w:rPr>
          <w:sz w:val="22"/>
          <w:szCs w:val="22"/>
        </w:rPr>
        <w:t xml:space="preserve">is discussing their fees and costs </w:t>
      </w:r>
      <w:r w:rsidR="000F52F0">
        <w:rPr>
          <w:sz w:val="22"/>
          <w:szCs w:val="22"/>
        </w:rPr>
        <w:t xml:space="preserve">for </w:t>
      </w:r>
      <w:r>
        <w:rPr>
          <w:sz w:val="22"/>
          <w:szCs w:val="22"/>
        </w:rPr>
        <w:t>their culinary program offerings</w:t>
      </w:r>
      <w:r w:rsidR="000F52F0">
        <w:rPr>
          <w:sz w:val="22"/>
          <w:szCs w:val="22"/>
        </w:rPr>
        <w:t xml:space="preserve"> for comparison purposes</w:t>
      </w:r>
      <w:r>
        <w:rPr>
          <w:sz w:val="22"/>
          <w:szCs w:val="22"/>
        </w:rPr>
        <w:t xml:space="preserve">. He will work in conjunction with Bryan Hensel, NTID </w:t>
      </w:r>
      <w:r w:rsidR="000F52F0">
        <w:rPr>
          <w:sz w:val="22"/>
          <w:szCs w:val="22"/>
        </w:rPr>
        <w:t xml:space="preserve">Senior </w:t>
      </w:r>
      <w:r w:rsidR="000F52F0" w:rsidRPr="001D025F">
        <w:rPr>
          <w:sz w:val="22"/>
          <w:szCs w:val="22"/>
        </w:rPr>
        <w:t xml:space="preserve">Director of Development and Alumni Relations, </w:t>
      </w:r>
      <w:r w:rsidRPr="001D025F">
        <w:rPr>
          <w:sz w:val="22"/>
          <w:szCs w:val="22"/>
        </w:rPr>
        <w:t xml:space="preserve">to reach out to professional individuals or companies who </w:t>
      </w:r>
      <w:r w:rsidR="000F52F0" w:rsidRPr="001D025F">
        <w:rPr>
          <w:sz w:val="22"/>
          <w:szCs w:val="22"/>
        </w:rPr>
        <w:t xml:space="preserve">would be interested in donating </w:t>
      </w:r>
      <w:r w:rsidRPr="001D025F">
        <w:rPr>
          <w:sz w:val="22"/>
          <w:szCs w:val="22"/>
        </w:rPr>
        <w:t xml:space="preserve">to </w:t>
      </w:r>
      <w:r w:rsidR="000F52F0" w:rsidRPr="001D025F">
        <w:rPr>
          <w:sz w:val="22"/>
          <w:szCs w:val="22"/>
        </w:rPr>
        <w:t>our culinary</w:t>
      </w:r>
      <w:r w:rsidRPr="001D025F">
        <w:rPr>
          <w:sz w:val="22"/>
          <w:szCs w:val="22"/>
        </w:rPr>
        <w:t xml:space="preserve"> program.</w:t>
      </w:r>
      <w:r w:rsidR="000D680A" w:rsidRPr="001D025F">
        <w:rPr>
          <w:sz w:val="22"/>
          <w:szCs w:val="22"/>
        </w:rPr>
        <w:t xml:space="preserve"> </w:t>
      </w:r>
      <w:r w:rsidR="000F52F0" w:rsidRPr="001D025F">
        <w:rPr>
          <w:sz w:val="22"/>
          <w:szCs w:val="22"/>
        </w:rPr>
        <w:t>Currently</w:t>
      </w:r>
      <w:r w:rsidRPr="001D025F">
        <w:rPr>
          <w:sz w:val="22"/>
          <w:szCs w:val="22"/>
        </w:rPr>
        <w:t xml:space="preserve">, we are </w:t>
      </w:r>
      <w:r w:rsidR="001D025F" w:rsidRPr="001D025F">
        <w:rPr>
          <w:sz w:val="22"/>
          <w:szCs w:val="22"/>
        </w:rPr>
        <w:t xml:space="preserve">also </w:t>
      </w:r>
      <w:r w:rsidRPr="001D025F">
        <w:rPr>
          <w:sz w:val="22"/>
          <w:szCs w:val="22"/>
        </w:rPr>
        <w:t xml:space="preserve">investigating </w:t>
      </w:r>
      <w:r w:rsidR="00DA2F73" w:rsidRPr="001D025F">
        <w:rPr>
          <w:sz w:val="22"/>
          <w:szCs w:val="22"/>
        </w:rPr>
        <w:t>the possibility</w:t>
      </w:r>
      <w:r w:rsidRPr="001D025F">
        <w:rPr>
          <w:sz w:val="22"/>
          <w:szCs w:val="22"/>
        </w:rPr>
        <w:t xml:space="preserve"> </w:t>
      </w:r>
      <w:r w:rsidR="00DA2F73" w:rsidRPr="001D025F">
        <w:rPr>
          <w:sz w:val="22"/>
          <w:szCs w:val="22"/>
        </w:rPr>
        <w:t>of</w:t>
      </w:r>
      <w:r w:rsidRPr="001D025F">
        <w:rPr>
          <w:sz w:val="22"/>
          <w:szCs w:val="22"/>
        </w:rPr>
        <w:t xml:space="preserve"> beginning </w:t>
      </w:r>
      <w:r w:rsidR="000D22BC" w:rsidRPr="001D025F">
        <w:rPr>
          <w:sz w:val="22"/>
          <w:szCs w:val="22"/>
        </w:rPr>
        <w:t xml:space="preserve">instruction for </w:t>
      </w:r>
      <w:r w:rsidRPr="001D025F">
        <w:rPr>
          <w:sz w:val="22"/>
          <w:szCs w:val="22"/>
        </w:rPr>
        <w:t>this AOS Culinary Arts program</w:t>
      </w:r>
      <w:r w:rsidR="00DA2F73" w:rsidRPr="001D025F">
        <w:rPr>
          <w:sz w:val="22"/>
          <w:szCs w:val="22"/>
        </w:rPr>
        <w:t xml:space="preserve"> in</w:t>
      </w:r>
      <w:r w:rsidRPr="001D025F">
        <w:rPr>
          <w:sz w:val="22"/>
          <w:szCs w:val="22"/>
        </w:rPr>
        <w:t xml:space="preserve"> the International Hospitality and Service Management Culinary Arts Labs </w:t>
      </w:r>
      <w:r w:rsidR="000F52F0" w:rsidRPr="001D025F">
        <w:rPr>
          <w:sz w:val="22"/>
          <w:szCs w:val="22"/>
        </w:rPr>
        <w:t>in the Eastman Building.</w:t>
      </w:r>
      <w:r w:rsidR="000F52F0">
        <w:rPr>
          <w:sz w:val="22"/>
          <w:szCs w:val="22"/>
        </w:rPr>
        <w:t xml:space="preserve"> </w:t>
      </w:r>
    </w:p>
    <w:p w14:paraId="0AC87175" w14:textId="77777777" w:rsidR="00D224D2" w:rsidRPr="00AF34B4" w:rsidRDefault="00D224D2" w:rsidP="00AF34B4">
      <w:pPr>
        <w:pStyle w:val="ListParagraph"/>
        <w:numPr>
          <w:ilvl w:val="0"/>
          <w:numId w:val="5"/>
        </w:numPr>
        <w:spacing w:before="240" w:after="0"/>
        <w:ind w:left="450" w:hanging="450"/>
        <w:rPr>
          <w:rFonts w:eastAsiaTheme="minorEastAsia"/>
          <w:b/>
          <w:color w:val="8496B0" w:themeColor="text2" w:themeTint="99"/>
          <w:sz w:val="24"/>
          <w:szCs w:val="24"/>
          <w:lang w:eastAsia="ja-JP"/>
        </w:rPr>
      </w:pPr>
      <w:r w:rsidRPr="00AF34B4">
        <w:rPr>
          <w:rFonts w:eastAsiaTheme="minorEastAsia"/>
          <w:b/>
          <w:color w:val="8496B0" w:themeColor="text2" w:themeTint="99"/>
          <w:sz w:val="24"/>
          <w:szCs w:val="24"/>
          <w:lang w:eastAsia="ja-JP"/>
        </w:rPr>
        <w:t xml:space="preserve">Cost Model </w:t>
      </w:r>
    </w:p>
    <w:p w14:paraId="46B559C3" w14:textId="4338D3C3" w:rsidR="00CB6771" w:rsidRPr="006F456C" w:rsidRDefault="00CB6771" w:rsidP="00C90828">
      <w:pPr>
        <w:spacing w:after="240"/>
        <w:ind w:left="360"/>
        <w:rPr>
          <w:sz w:val="22"/>
          <w:szCs w:val="22"/>
        </w:rPr>
      </w:pPr>
      <w:r w:rsidRPr="007F1468">
        <w:rPr>
          <w:sz w:val="22"/>
          <w:szCs w:val="22"/>
        </w:rPr>
        <w:t>The NT</w:t>
      </w:r>
      <w:r w:rsidR="001D025F">
        <w:rPr>
          <w:sz w:val="22"/>
          <w:szCs w:val="22"/>
        </w:rPr>
        <w:t>I</w:t>
      </w:r>
      <w:r w:rsidRPr="007F1468">
        <w:rPr>
          <w:sz w:val="22"/>
          <w:szCs w:val="22"/>
        </w:rPr>
        <w:t xml:space="preserve">D cost model analysis, which will be forwarded to the Provost, </w:t>
      </w:r>
      <w:r w:rsidRPr="001D025F">
        <w:rPr>
          <w:sz w:val="22"/>
          <w:szCs w:val="22"/>
        </w:rPr>
        <w:t>includes f</w:t>
      </w:r>
      <w:r w:rsidR="000D22BC" w:rsidRPr="001D025F">
        <w:rPr>
          <w:sz w:val="22"/>
          <w:szCs w:val="22"/>
        </w:rPr>
        <w:t>ive</w:t>
      </w:r>
      <w:r w:rsidRPr="001D025F">
        <w:rPr>
          <w:sz w:val="22"/>
          <w:szCs w:val="22"/>
        </w:rPr>
        <w:t xml:space="preserve"> tables detailing projected expenditures and revenue over the first five years of the program.  </w:t>
      </w:r>
      <w:r w:rsidRPr="007F1468">
        <w:rPr>
          <w:sz w:val="22"/>
          <w:szCs w:val="22"/>
        </w:rPr>
        <w:t xml:space="preserve">Faculty/staff salary and benefits plus costs such as </w:t>
      </w:r>
      <w:r w:rsidR="003D58F4">
        <w:rPr>
          <w:sz w:val="22"/>
          <w:szCs w:val="22"/>
        </w:rPr>
        <w:t>computers, travel/conferences, and overhead costs</w:t>
      </w:r>
      <w:r w:rsidRPr="007F1468">
        <w:rPr>
          <w:sz w:val="22"/>
          <w:szCs w:val="22"/>
        </w:rPr>
        <w:t xml:space="preserve"> total approximately </w:t>
      </w:r>
      <w:r w:rsidR="003D58F4" w:rsidRPr="003D58F4">
        <w:rPr>
          <w:sz w:val="22"/>
          <w:szCs w:val="22"/>
        </w:rPr>
        <w:t>$1,740,2</w:t>
      </w:r>
      <w:r w:rsidRPr="003D58F4">
        <w:rPr>
          <w:sz w:val="22"/>
          <w:szCs w:val="22"/>
        </w:rPr>
        <w:t>00</w:t>
      </w:r>
      <w:r w:rsidR="00C90828">
        <w:rPr>
          <w:sz w:val="22"/>
          <w:szCs w:val="22"/>
        </w:rPr>
        <w:t>.</w:t>
      </w:r>
      <w:r w:rsidRPr="007F1468">
        <w:rPr>
          <w:sz w:val="22"/>
          <w:szCs w:val="22"/>
        </w:rPr>
        <w:t xml:space="preserve"> </w:t>
      </w:r>
      <w:r w:rsidR="003D58F4">
        <w:rPr>
          <w:sz w:val="22"/>
          <w:szCs w:val="22"/>
        </w:rPr>
        <w:t xml:space="preserve">Costs for instructional supplies, lab rental and/or renovation have not been included as they are still under negotiation. </w:t>
      </w:r>
      <w:r w:rsidR="001D025F" w:rsidRPr="001D025F">
        <w:rPr>
          <w:sz w:val="22"/>
          <w:szCs w:val="22"/>
        </w:rPr>
        <w:t>There are</w:t>
      </w:r>
      <w:r w:rsidR="001D025F" w:rsidRPr="007F1468">
        <w:rPr>
          <w:sz w:val="22"/>
          <w:szCs w:val="22"/>
        </w:rPr>
        <w:t xml:space="preserve"> </w:t>
      </w:r>
      <w:r w:rsidR="001E37AA">
        <w:rPr>
          <w:sz w:val="22"/>
          <w:szCs w:val="22"/>
        </w:rPr>
        <w:t xml:space="preserve">no </w:t>
      </w:r>
      <w:r w:rsidR="001D025F" w:rsidRPr="007F1468">
        <w:rPr>
          <w:sz w:val="22"/>
          <w:szCs w:val="22"/>
        </w:rPr>
        <w:t>anticipated capital expenditures</w:t>
      </w:r>
      <w:r w:rsidR="001E37AA">
        <w:rPr>
          <w:sz w:val="22"/>
          <w:szCs w:val="22"/>
        </w:rPr>
        <w:t xml:space="preserve"> built into the Cost Model at this time</w:t>
      </w:r>
      <w:r w:rsidR="001D025F" w:rsidRPr="007F1468">
        <w:rPr>
          <w:sz w:val="22"/>
          <w:szCs w:val="22"/>
        </w:rPr>
        <w:t xml:space="preserve">.  </w:t>
      </w:r>
      <w:r w:rsidR="003C2701" w:rsidRPr="0008050D">
        <w:rPr>
          <w:sz w:val="22"/>
          <w:szCs w:val="22"/>
        </w:rPr>
        <w:t xml:space="preserve">However, one general estimate for construction/renovation of </w:t>
      </w:r>
      <w:r w:rsidR="003C2701" w:rsidRPr="0008050D">
        <w:rPr>
          <w:sz w:val="22"/>
          <w:szCs w:val="22"/>
        </w:rPr>
        <w:lastRenderedPageBreak/>
        <w:t>NTID’s space</w:t>
      </w:r>
      <w:r w:rsidR="00247350" w:rsidRPr="0008050D">
        <w:rPr>
          <w:sz w:val="22"/>
          <w:szCs w:val="22"/>
        </w:rPr>
        <w:t xml:space="preserve"> for a culinary lab</w:t>
      </w:r>
      <w:r w:rsidR="003C2701" w:rsidRPr="0008050D">
        <w:rPr>
          <w:sz w:val="22"/>
          <w:szCs w:val="22"/>
        </w:rPr>
        <w:t xml:space="preserve"> is </w:t>
      </w:r>
      <w:r w:rsidR="00725AB7" w:rsidRPr="0008050D">
        <w:rPr>
          <w:sz w:val="22"/>
          <w:szCs w:val="22"/>
        </w:rPr>
        <w:t xml:space="preserve">approximately </w:t>
      </w:r>
      <w:r w:rsidR="003C2701" w:rsidRPr="0008050D">
        <w:rPr>
          <w:sz w:val="22"/>
          <w:szCs w:val="22"/>
        </w:rPr>
        <w:t xml:space="preserve">$250,000. </w:t>
      </w:r>
      <w:r w:rsidR="00725AB7" w:rsidRPr="0008050D">
        <w:rPr>
          <w:sz w:val="22"/>
          <w:szCs w:val="22"/>
        </w:rPr>
        <w:t xml:space="preserve">Installation of kitchen equipment is estimated to be between $500,000 to $750,000. </w:t>
      </w:r>
      <w:r w:rsidR="003C2701" w:rsidRPr="0008050D">
        <w:rPr>
          <w:sz w:val="22"/>
          <w:szCs w:val="22"/>
        </w:rPr>
        <w:t xml:space="preserve">An approximate cost of $3,000 for food </w:t>
      </w:r>
      <w:r w:rsidR="00725AB7" w:rsidRPr="0008050D">
        <w:rPr>
          <w:sz w:val="22"/>
          <w:szCs w:val="22"/>
        </w:rPr>
        <w:t>and other supplies (ex: cle</w:t>
      </w:r>
      <w:r w:rsidR="00247350" w:rsidRPr="0008050D">
        <w:rPr>
          <w:sz w:val="22"/>
          <w:szCs w:val="22"/>
        </w:rPr>
        <w:t>aning supplies, sundries, etc.)</w:t>
      </w:r>
      <w:r w:rsidR="00725AB7" w:rsidRPr="0008050D">
        <w:rPr>
          <w:sz w:val="22"/>
          <w:szCs w:val="22"/>
        </w:rPr>
        <w:t xml:space="preserve"> per </w:t>
      </w:r>
      <w:r w:rsidR="00247350" w:rsidRPr="0008050D">
        <w:rPr>
          <w:sz w:val="22"/>
          <w:szCs w:val="22"/>
        </w:rPr>
        <w:t xml:space="preserve">lab </w:t>
      </w:r>
      <w:r w:rsidR="003C2701" w:rsidRPr="0008050D">
        <w:rPr>
          <w:sz w:val="22"/>
          <w:szCs w:val="22"/>
        </w:rPr>
        <w:t>course is a good bench</w:t>
      </w:r>
      <w:r w:rsidR="00725AB7" w:rsidRPr="0008050D">
        <w:rPr>
          <w:sz w:val="22"/>
          <w:szCs w:val="22"/>
        </w:rPr>
        <w:t>mark</w:t>
      </w:r>
      <w:r w:rsidR="003C2701" w:rsidRPr="0008050D">
        <w:rPr>
          <w:sz w:val="22"/>
          <w:szCs w:val="22"/>
        </w:rPr>
        <w:t xml:space="preserve">. </w:t>
      </w:r>
      <w:r w:rsidR="001D025F" w:rsidRPr="0008050D">
        <w:rPr>
          <w:sz w:val="22"/>
          <w:szCs w:val="22"/>
        </w:rPr>
        <w:t>To help defray</w:t>
      </w:r>
      <w:r w:rsidR="00247350" w:rsidRPr="0008050D">
        <w:rPr>
          <w:sz w:val="22"/>
          <w:szCs w:val="22"/>
        </w:rPr>
        <w:t xml:space="preserve"> some of these </w:t>
      </w:r>
      <w:r w:rsidR="001D025F" w:rsidRPr="0008050D">
        <w:rPr>
          <w:sz w:val="22"/>
          <w:szCs w:val="22"/>
        </w:rPr>
        <w:t>costs</w:t>
      </w:r>
      <w:r w:rsidR="00725AB7" w:rsidRPr="0008050D">
        <w:rPr>
          <w:sz w:val="22"/>
          <w:szCs w:val="22"/>
        </w:rPr>
        <w:t>,</w:t>
      </w:r>
      <w:r w:rsidR="003C2701" w:rsidRPr="0008050D">
        <w:rPr>
          <w:sz w:val="22"/>
          <w:szCs w:val="22"/>
        </w:rPr>
        <w:t xml:space="preserve"> students </w:t>
      </w:r>
      <w:r w:rsidR="00725AB7" w:rsidRPr="0008050D">
        <w:rPr>
          <w:sz w:val="22"/>
          <w:szCs w:val="22"/>
        </w:rPr>
        <w:t>could</w:t>
      </w:r>
      <w:r w:rsidR="001D025F" w:rsidRPr="0008050D">
        <w:rPr>
          <w:sz w:val="22"/>
          <w:szCs w:val="22"/>
        </w:rPr>
        <w:t xml:space="preserve"> possibly</w:t>
      </w:r>
      <w:r w:rsidR="00725AB7" w:rsidRPr="0008050D">
        <w:rPr>
          <w:sz w:val="22"/>
          <w:szCs w:val="22"/>
        </w:rPr>
        <w:t xml:space="preserve"> be assessed</w:t>
      </w:r>
      <w:r w:rsidR="003C2701" w:rsidRPr="0008050D">
        <w:rPr>
          <w:sz w:val="22"/>
          <w:szCs w:val="22"/>
        </w:rPr>
        <w:t xml:space="preserve"> lab fee</w:t>
      </w:r>
      <w:r w:rsidR="00725AB7" w:rsidRPr="0008050D">
        <w:rPr>
          <w:sz w:val="22"/>
          <w:szCs w:val="22"/>
        </w:rPr>
        <w:t>s</w:t>
      </w:r>
      <w:r w:rsidR="003C2701" w:rsidRPr="0008050D">
        <w:rPr>
          <w:sz w:val="22"/>
          <w:szCs w:val="22"/>
        </w:rPr>
        <w:t xml:space="preserve"> </w:t>
      </w:r>
      <w:r w:rsidR="001D025F" w:rsidRPr="0008050D">
        <w:rPr>
          <w:sz w:val="22"/>
          <w:szCs w:val="22"/>
        </w:rPr>
        <w:t>for some expenses,</w:t>
      </w:r>
      <w:r w:rsidR="003C2701" w:rsidRPr="0008050D">
        <w:rPr>
          <w:sz w:val="22"/>
          <w:szCs w:val="22"/>
        </w:rPr>
        <w:t xml:space="preserve"> such as a </w:t>
      </w:r>
      <w:r w:rsidR="003C2701" w:rsidRPr="006F456C">
        <w:rPr>
          <w:sz w:val="22"/>
          <w:szCs w:val="22"/>
        </w:rPr>
        <w:t>chef’</w:t>
      </w:r>
      <w:r w:rsidR="00725AB7" w:rsidRPr="006F456C">
        <w:rPr>
          <w:sz w:val="22"/>
          <w:szCs w:val="22"/>
        </w:rPr>
        <w:t xml:space="preserve">s hat, </w:t>
      </w:r>
      <w:r w:rsidR="003C2701" w:rsidRPr="006F456C">
        <w:rPr>
          <w:sz w:val="22"/>
          <w:szCs w:val="22"/>
        </w:rPr>
        <w:t>coat</w:t>
      </w:r>
      <w:r w:rsidR="00725AB7" w:rsidRPr="006F456C">
        <w:rPr>
          <w:sz w:val="22"/>
          <w:szCs w:val="22"/>
        </w:rPr>
        <w:t>s, knives, and other kitchen/educational tools</w:t>
      </w:r>
      <w:r w:rsidR="003C2701" w:rsidRPr="006F456C">
        <w:rPr>
          <w:sz w:val="22"/>
          <w:szCs w:val="22"/>
        </w:rPr>
        <w:t xml:space="preserve">. </w:t>
      </w:r>
    </w:p>
    <w:p w14:paraId="6FA2A5BB" w14:textId="77777777" w:rsidR="006F456C" w:rsidRDefault="00DA2F73" w:rsidP="00C90828">
      <w:pPr>
        <w:spacing w:after="240"/>
        <w:ind w:left="360"/>
        <w:rPr>
          <w:sz w:val="22"/>
          <w:szCs w:val="22"/>
        </w:rPr>
      </w:pPr>
      <w:r w:rsidRPr="006F456C">
        <w:rPr>
          <w:sz w:val="22"/>
          <w:szCs w:val="22"/>
        </w:rPr>
        <w:t xml:space="preserve">In addition, we are </w:t>
      </w:r>
      <w:r w:rsidR="00352A4F" w:rsidRPr="006F456C">
        <w:rPr>
          <w:sz w:val="22"/>
          <w:szCs w:val="22"/>
        </w:rPr>
        <w:t>beginning to look for</w:t>
      </w:r>
      <w:r w:rsidRPr="006F456C">
        <w:rPr>
          <w:sz w:val="22"/>
          <w:szCs w:val="22"/>
        </w:rPr>
        <w:t xml:space="preserve"> general cost information </w:t>
      </w:r>
      <w:r w:rsidR="00352A4F" w:rsidRPr="006F456C">
        <w:rPr>
          <w:sz w:val="22"/>
          <w:szCs w:val="22"/>
        </w:rPr>
        <w:t>to use</w:t>
      </w:r>
      <w:r w:rsidRPr="006F456C">
        <w:rPr>
          <w:sz w:val="22"/>
          <w:szCs w:val="22"/>
        </w:rPr>
        <w:t xml:space="preserve"> for comparison purposes</w:t>
      </w:r>
      <w:r w:rsidR="00352A4F" w:rsidRPr="006F456C">
        <w:rPr>
          <w:sz w:val="22"/>
          <w:szCs w:val="22"/>
        </w:rPr>
        <w:t xml:space="preserve"> from other programs offered at the community college level</w:t>
      </w:r>
      <w:r w:rsidRPr="006F456C">
        <w:rPr>
          <w:sz w:val="22"/>
          <w:szCs w:val="22"/>
        </w:rPr>
        <w:t>.</w:t>
      </w:r>
      <w:r w:rsidR="000D680A" w:rsidRPr="006F456C">
        <w:rPr>
          <w:sz w:val="22"/>
          <w:szCs w:val="22"/>
        </w:rPr>
        <w:t xml:space="preserve"> We anticipate that donations will become a critical part of establishing this program. We are aware of other organization</w:t>
      </w:r>
      <w:r w:rsidR="00874A75" w:rsidRPr="006F456C">
        <w:rPr>
          <w:sz w:val="22"/>
          <w:szCs w:val="22"/>
        </w:rPr>
        <w:t>s</w:t>
      </w:r>
      <w:r w:rsidR="000D680A" w:rsidRPr="006F456C">
        <w:rPr>
          <w:sz w:val="22"/>
          <w:szCs w:val="22"/>
        </w:rPr>
        <w:t xml:space="preserve"> in the Rochester area who have received grants and used equipment to initiate non-accredited training programs for other groups of young adults. </w:t>
      </w:r>
      <w:r w:rsidRPr="006F456C">
        <w:rPr>
          <w:sz w:val="22"/>
          <w:szCs w:val="22"/>
        </w:rPr>
        <w:t xml:space="preserve"> </w:t>
      </w:r>
      <w:r w:rsidR="00773222" w:rsidRPr="006F456C">
        <w:rPr>
          <w:sz w:val="22"/>
          <w:szCs w:val="22"/>
        </w:rPr>
        <w:t>All costs</w:t>
      </w:r>
      <w:r w:rsidR="00352A4F" w:rsidRPr="006F456C">
        <w:rPr>
          <w:sz w:val="22"/>
          <w:szCs w:val="22"/>
        </w:rPr>
        <w:t xml:space="preserve"> for a Culinary Arts program</w:t>
      </w:r>
      <w:r w:rsidR="00773222" w:rsidRPr="006F456C">
        <w:rPr>
          <w:sz w:val="22"/>
          <w:szCs w:val="22"/>
        </w:rPr>
        <w:t xml:space="preserve"> will have to be</w:t>
      </w:r>
      <w:r w:rsidR="000D680A" w:rsidRPr="006F456C">
        <w:rPr>
          <w:sz w:val="22"/>
          <w:szCs w:val="22"/>
        </w:rPr>
        <w:t xml:space="preserve"> </w:t>
      </w:r>
      <w:r w:rsidR="00773222" w:rsidRPr="006F456C">
        <w:rPr>
          <w:sz w:val="22"/>
          <w:szCs w:val="22"/>
        </w:rPr>
        <w:t>investigated further if we are given permission to develop the full program proposal</w:t>
      </w:r>
      <w:r w:rsidR="000D22BC" w:rsidRPr="006F456C">
        <w:rPr>
          <w:sz w:val="22"/>
          <w:szCs w:val="22"/>
        </w:rPr>
        <w:t xml:space="preserve"> and then</w:t>
      </w:r>
      <w:r w:rsidR="006F456C" w:rsidRPr="006F456C">
        <w:rPr>
          <w:sz w:val="22"/>
          <w:szCs w:val="22"/>
        </w:rPr>
        <w:t xml:space="preserve"> initiate the program in AY 2019-20</w:t>
      </w:r>
      <w:r w:rsidR="00773222" w:rsidRPr="006F456C">
        <w:rPr>
          <w:sz w:val="22"/>
          <w:szCs w:val="22"/>
        </w:rPr>
        <w:t>.</w:t>
      </w:r>
      <w:r w:rsidR="006F456C" w:rsidRPr="006F456C">
        <w:rPr>
          <w:sz w:val="22"/>
          <w:szCs w:val="22"/>
        </w:rPr>
        <w:t xml:space="preserve"> </w:t>
      </w:r>
    </w:p>
    <w:p w14:paraId="364179E3" w14:textId="6A8AF33F" w:rsidR="00DA2F73" w:rsidRPr="007F1468" w:rsidRDefault="006F456C" w:rsidP="00C90828">
      <w:pPr>
        <w:spacing w:after="240"/>
        <w:ind w:left="360"/>
        <w:rPr>
          <w:sz w:val="22"/>
          <w:szCs w:val="22"/>
        </w:rPr>
      </w:pPr>
      <w:r w:rsidRPr="0008050D">
        <w:rPr>
          <w:sz w:val="22"/>
          <w:szCs w:val="22"/>
        </w:rPr>
        <w:t>Expenses</w:t>
      </w:r>
      <w:r>
        <w:rPr>
          <w:sz w:val="22"/>
          <w:szCs w:val="22"/>
        </w:rPr>
        <w:t xml:space="preserve"> which are shown in the Cost Model tables</w:t>
      </w:r>
      <w:r w:rsidRPr="007F1468">
        <w:rPr>
          <w:sz w:val="22"/>
          <w:szCs w:val="22"/>
        </w:rPr>
        <w:t xml:space="preserve"> are pro</w:t>
      </w:r>
      <w:r>
        <w:rPr>
          <w:sz w:val="22"/>
          <w:szCs w:val="22"/>
        </w:rPr>
        <w:t>jected to be offset by</w:t>
      </w:r>
      <w:r w:rsidRPr="007F1468">
        <w:rPr>
          <w:sz w:val="22"/>
          <w:szCs w:val="22"/>
        </w:rPr>
        <w:t xml:space="preserve"> </w:t>
      </w:r>
      <w:r w:rsidRPr="003D58F4">
        <w:rPr>
          <w:sz w:val="22"/>
          <w:szCs w:val="22"/>
        </w:rPr>
        <w:t>$1,776,400</w:t>
      </w:r>
      <w:r>
        <w:rPr>
          <w:sz w:val="22"/>
          <w:szCs w:val="22"/>
        </w:rPr>
        <w:t xml:space="preserve"> in tuition revenue. </w:t>
      </w:r>
      <w:r w:rsidRPr="007F1468">
        <w:rPr>
          <w:sz w:val="22"/>
          <w:szCs w:val="22"/>
        </w:rPr>
        <w:t>Total revenue minus expenses over the five years is estimated to be approximately</w:t>
      </w:r>
      <w:r>
        <w:rPr>
          <w:sz w:val="22"/>
          <w:szCs w:val="22"/>
        </w:rPr>
        <w:t xml:space="preserve"> </w:t>
      </w:r>
      <w:r w:rsidRPr="003D58F4">
        <w:rPr>
          <w:sz w:val="22"/>
          <w:szCs w:val="22"/>
        </w:rPr>
        <w:t>$36,240</w:t>
      </w:r>
      <w:r>
        <w:rPr>
          <w:sz w:val="22"/>
          <w:szCs w:val="22"/>
        </w:rPr>
        <w:t xml:space="preserve"> which may change based on the costs of labs and supplies</w:t>
      </w:r>
      <w:r w:rsidRPr="0008050D">
        <w:rPr>
          <w:sz w:val="22"/>
          <w:szCs w:val="22"/>
        </w:rPr>
        <w:t>.  [Note that NTID’s tuition is applied to support all academic and non-academic programs accessed by students and the program does not fit into the Net Tuition Revenue Model used by other RIT colleges. Tuition is subsidized by federal appropriations and is therefore not cost related.]</w:t>
      </w:r>
    </w:p>
    <w:p w14:paraId="08EDD076" w14:textId="77777777" w:rsidR="00D224D2" w:rsidRPr="00C90828" w:rsidRDefault="00D224D2" w:rsidP="00A85594">
      <w:pPr>
        <w:pStyle w:val="ListParagraph"/>
        <w:numPr>
          <w:ilvl w:val="0"/>
          <w:numId w:val="5"/>
        </w:numPr>
        <w:spacing w:after="0"/>
        <w:ind w:left="360" w:hanging="270"/>
        <w:rPr>
          <w:rFonts w:eastAsiaTheme="minorEastAsia"/>
          <w:b/>
          <w:color w:val="8496B0" w:themeColor="text2" w:themeTint="99"/>
          <w:sz w:val="24"/>
          <w:szCs w:val="24"/>
          <w:lang w:eastAsia="ja-JP"/>
        </w:rPr>
      </w:pPr>
      <w:r w:rsidRPr="00C90828">
        <w:rPr>
          <w:rFonts w:eastAsiaTheme="minorEastAsia"/>
          <w:b/>
          <w:color w:val="8496B0" w:themeColor="text2" w:themeTint="99"/>
          <w:sz w:val="24"/>
          <w:szCs w:val="24"/>
          <w:lang w:eastAsia="ja-JP"/>
        </w:rPr>
        <w:t>Conclusion</w:t>
      </w:r>
    </w:p>
    <w:p w14:paraId="2662EDED" w14:textId="77777777" w:rsidR="00A66452" w:rsidRPr="00A85594" w:rsidRDefault="00A66452" w:rsidP="00C90828">
      <w:pPr>
        <w:spacing w:after="240"/>
        <w:ind w:left="360"/>
        <w:rPr>
          <w:sz w:val="22"/>
          <w:szCs w:val="22"/>
        </w:rPr>
      </w:pPr>
      <w:r w:rsidRPr="00A85594">
        <w:rPr>
          <w:sz w:val="22"/>
          <w:szCs w:val="22"/>
        </w:rPr>
        <w:t>In summary, the A</w:t>
      </w:r>
      <w:r w:rsidR="00C1413F">
        <w:rPr>
          <w:sz w:val="22"/>
          <w:szCs w:val="22"/>
        </w:rPr>
        <w:t>O</w:t>
      </w:r>
      <w:r w:rsidRPr="00A85594">
        <w:rPr>
          <w:sz w:val="22"/>
          <w:szCs w:val="22"/>
        </w:rPr>
        <w:t>S d</w:t>
      </w:r>
      <w:r w:rsidR="00C1413F">
        <w:rPr>
          <w:sz w:val="22"/>
          <w:szCs w:val="22"/>
        </w:rPr>
        <w:t>egree in Culinary Arts</w:t>
      </w:r>
      <w:r w:rsidRPr="00A85594">
        <w:rPr>
          <w:sz w:val="22"/>
          <w:szCs w:val="22"/>
        </w:rPr>
        <w:t xml:space="preserve"> will allow us to expand our </w:t>
      </w:r>
      <w:r w:rsidR="00A06A56" w:rsidRPr="00A85594">
        <w:rPr>
          <w:sz w:val="22"/>
          <w:szCs w:val="22"/>
        </w:rPr>
        <w:t xml:space="preserve">Business Studies </w:t>
      </w:r>
      <w:r w:rsidRPr="00A85594">
        <w:rPr>
          <w:sz w:val="22"/>
          <w:szCs w:val="22"/>
        </w:rPr>
        <w:t>portfolio of program</w:t>
      </w:r>
      <w:r w:rsidR="00A06A56" w:rsidRPr="00A85594">
        <w:rPr>
          <w:sz w:val="22"/>
          <w:szCs w:val="22"/>
        </w:rPr>
        <w:t>s</w:t>
      </w:r>
      <w:r w:rsidRPr="00A85594">
        <w:rPr>
          <w:sz w:val="22"/>
          <w:szCs w:val="22"/>
        </w:rPr>
        <w:t xml:space="preserve"> into additional </w:t>
      </w:r>
      <w:r w:rsidR="00BC06E5" w:rsidRPr="00A85594">
        <w:rPr>
          <w:sz w:val="22"/>
          <w:szCs w:val="22"/>
        </w:rPr>
        <w:t xml:space="preserve">career </w:t>
      </w:r>
      <w:r w:rsidRPr="00A85594">
        <w:rPr>
          <w:sz w:val="22"/>
          <w:szCs w:val="22"/>
        </w:rPr>
        <w:t>areas</w:t>
      </w:r>
      <w:r w:rsidR="0086631A">
        <w:rPr>
          <w:sz w:val="22"/>
          <w:szCs w:val="22"/>
        </w:rPr>
        <w:t>.</w:t>
      </w:r>
      <w:r w:rsidRPr="00A85594">
        <w:rPr>
          <w:sz w:val="22"/>
          <w:szCs w:val="22"/>
        </w:rPr>
        <w:t xml:space="preserve"> This program will provide </w:t>
      </w:r>
      <w:r w:rsidR="00BC06E5" w:rsidRPr="00A85594">
        <w:rPr>
          <w:sz w:val="22"/>
          <w:szCs w:val="22"/>
        </w:rPr>
        <w:t xml:space="preserve">a </w:t>
      </w:r>
      <w:r w:rsidRPr="00A85594">
        <w:rPr>
          <w:sz w:val="22"/>
          <w:szCs w:val="22"/>
        </w:rPr>
        <w:t xml:space="preserve">broader education for </w:t>
      </w:r>
      <w:r w:rsidR="0086631A">
        <w:rPr>
          <w:sz w:val="22"/>
          <w:szCs w:val="22"/>
        </w:rPr>
        <w:t xml:space="preserve">deaf and hard-of-hearing </w:t>
      </w:r>
      <w:r w:rsidRPr="00A85594">
        <w:rPr>
          <w:sz w:val="22"/>
          <w:szCs w:val="22"/>
        </w:rPr>
        <w:t>students and subsequent employmen</w:t>
      </w:r>
      <w:r w:rsidR="00A06A56" w:rsidRPr="00A85594">
        <w:rPr>
          <w:sz w:val="22"/>
          <w:szCs w:val="22"/>
        </w:rPr>
        <w:t xml:space="preserve">t </w:t>
      </w:r>
      <w:r w:rsidRPr="00A85594">
        <w:rPr>
          <w:sz w:val="22"/>
          <w:szCs w:val="22"/>
        </w:rPr>
        <w:t>opportunities</w:t>
      </w:r>
      <w:r w:rsidR="0086631A">
        <w:rPr>
          <w:sz w:val="22"/>
          <w:szCs w:val="22"/>
        </w:rPr>
        <w:t xml:space="preserve"> in </w:t>
      </w:r>
      <w:r w:rsidR="0086631A" w:rsidRPr="00F4126B">
        <w:rPr>
          <w:rStyle w:val="articlecontent"/>
        </w:rPr>
        <w:t xml:space="preserve">hospitality industry </w:t>
      </w:r>
      <w:r w:rsidR="006C2043">
        <w:rPr>
          <w:rStyle w:val="articlecontent"/>
        </w:rPr>
        <w:t>locals</w:t>
      </w:r>
      <w:r w:rsidR="0086631A">
        <w:rPr>
          <w:rStyle w:val="articlecontent"/>
        </w:rPr>
        <w:t xml:space="preserve"> such </w:t>
      </w:r>
      <w:r w:rsidR="0086631A" w:rsidRPr="00F4126B">
        <w:rPr>
          <w:rStyle w:val="articlecontent"/>
        </w:rPr>
        <w:t xml:space="preserve">as hotels, restaurants, </w:t>
      </w:r>
      <w:r w:rsidR="0086631A">
        <w:rPr>
          <w:rStyle w:val="articlecontent"/>
        </w:rPr>
        <w:t xml:space="preserve">institutions, </w:t>
      </w:r>
      <w:r w:rsidR="0086631A" w:rsidRPr="00F4126B">
        <w:rPr>
          <w:rStyle w:val="articlecontent"/>
        </w:rPr>
        <w:t>clubs</w:t>
      </w:r>
      <w:r w:rsidR="0086631A">
        <w:rPr>
          <w:rStyle w:val="articlecontent"/>
        </w:rPr>
        <w:t>,</w:t>
      </w:r>
      <w:r w:rsidR="0086631A" w:rsidRPr="00F4126B">
        <w:rPr>
          <w:rStyle w:val="articlecontent"/>
        </w:rPr>
        <w:t xml:space="preserve"> and hospitals.</w:t>
      </w:r>
      <w:r w:rsidR="00A06A56" w:rsidRPr="00A85594">
        <w:rPr>
          <w:sz w:val="22"/>
          <w:szCs w:val="22"/>
        </w:rPr>
        <w:t xml:space="preserve"> </w:t>
      </w:r>
      <w:r w:rsidRPr="00A85594">
        <w:rPr>
          <w:sz w:val="22"/>
          <w:szCs w:val="22"/>
        </w:rPr>
        <w:t xml:space="preserve">Graduates will be employed in private and public sector entry-level positions </w:t>
      </w:r>
      <w:r w:rsidR="0086631A">
        <w:rPr>
          <w:sz w:val="22"/>
          <w:szCs w:val="22"/>
        </w:rPr>
        <w:t>as</w:t>
      </w:r>
      <w:r w:rsidR="00C1413F">
        <w:rPr>
          <w:sz w:val="22"/>
          <w:szCs w:val="22"/>
        </w:rPr>
        <w:t xml:space="preserve"> chef, caterer, line cook, head cook, </w:t>
      </w:r>
      <w:r w:rsidR="0086631A">
        <w:rPr>
          <w:sz w:val="22"/>
          <w:szCs w:val="22"/>
        </w:rPr>
        <w:t>or</w:t>
      </w:r>
      <w:r w:rsidR="00C1413F">
        <w:rPr>
          <w:sz w:val="22"/>
          <w:szCs w:val="22"/>
        </w:rPr>
        <w:t xml:space="preserve"> food and beverage manager</w:t>
      </w:r>
      <w:r w:rsidRPr="00A85594">
        <w:rPr>
          <w:sz w:val="22"/>
          <w:szCs w:val="22"/>
        </w:rPr>
        <w:t xml:space="preserve">. </w:t>
      </w:r>
    </w:p>
    <w:p w14:paraId="3C4E5345" w14:textId="77777777" w:rsidR="00A85594" w:rsidRDefault="00A66452" w:rsidP="00C90828">
      <w:pPr>
        <w:spacing w:after="240"/>
        <w:ind w:left="360"/>
        <w:rPr>
          <w:sz w:val="22"/>
          <w:szCs w:val="22"/>
        </w:rPr>
      </w:pPr>
      <w:r w:rsidRPr="00A85594">
        <w:rPr>
          <w:sz w:val="22"/>
          <w:szCs w:val="22"/>
        </w:rPr>
        <w:t xml:space="preserve">This concept paper was developed and reviewed by the </w:t>
      </w:r>
      <w:r w:rsidR="00A06A56" w:rsidRPr="00A85594">
        <w:rPr>
          <w:sz w:val="22"/>
          <w:szCs w:val="22"/>
        </w:rPr>
        <w:t>Business Studies</w:t>
      </w:r>
      <w:r w:rsidRPr="00A85594">
        <w:rPr>
          <w:sz w:val="22"/>
          <w:szCs w:val="22"/>
        </w:rPr>
        <w:t xml:space="preserve"> curriculum committee:</w:t>
      </w:r>
      <w:r w:rsidR="00A06A56" w:rsidRPr="00A85594">
        <w:rPr>
          <w:sz w:val="22"/>
          <w:szCs w:val="22"/>
        </w:rPr>
        <w:t xml:space="preserve"> Mary Lou Basile</w:t>
      </w:r>
      <w:r w:rsidRPr="00A85594">
        <w:rPr>
          <w:sz w:val="22"/>
          <w:szCs w:val="22"/>
        </w:rPr>
        <w:t>, chair, and committee members comprised of the faculty in the</w:t>
      </w:r>
      <w:r w:rsidR="00A06A56" w:rsidRPr="00A85594">
        <w:rPr>
          <w:sz w:val="22"/>
          <w:szCs w:val="22"/>
        </w:rPr>
        <w:t xml:space="preserve"> Business Studies</w:t>
      </w:r>
      <w:r w:rsidRPr="00A85594">
        <w:rPr>
          <w:sz w:val="22"/>
          <w:szCs w:val="22"/>
        </w:rPr>
        <w:t xml:space="preserve"> </w:t>
      </w:r>
      <w:r w:rsidR="00A06A56" w:rsidRPr="00A85594">
        <w:rPr>
          <w:sz w:val="22"/>
          <w:szCs w:val="22"/>
        </w:rPr>
        <w:t>D</w:t>
      </w:r>
      <w:r w:rsidRPr="00A85594">
        <w:rPr>
          <w:sz w:val="22"/>
          <w:szCs w:val="22"/>
        </w:rPr>
        <w:t>epartment.</w:t>
      </w:r>
      <w:r w:rsidR="00B02E66" w:rsidRPr="00A85594">
        <w:rPr>
          <w:sz w:val="22"/>
          <w:szCs w:val="22"/>
        </w:rPr>
        <w:t xml:space="preserve"> There was unanimous support for developing and offering an A</w:t>
      </w:r>
      <w:r w:rsidR="00C1413F">
        <w:rPr>
          <w:sz w:val="22"/>
          <w:szCs w:val="22"/>
        </w:rPr>
        <w:t>O</w:t>
      </w:r>
      <w:r w:rsidR="00B02E66" w:rsidRPr="00A85594">
        <w:rPr>
          <w:sz w:val="22"/>
          <w:szCs w:val="22"/>
        </w:rPr>
        <w:t xml:space="preserve">S in </w:t>
      </w:r>
      <w:r w:rsidR="00C1413F">
        <w:rPr>
          <w:sz w:val="22"/>
          <w:szCs w:val="22"/>
        </w:rPr>
        <w:t>Culinary Arts</w:t>
      </w:r>
      <w:r w:rsidR="00B02E66" w:rsidRPr="00A85594">
        <w:rPr>
          <w:sz w:val="22"/>
          <w:szCs w:val="22"/>
        </w:rPr>
        <w:t xml:space="preserve"> degree program by the Departm</w:t>
      </w:r>
      <w:r w:rsidR="00FB3FB1" w:rsidRPr="00A85594">
        <w:rPr>
          <w:sz w:val="22"/>
          <w:szCs w:val="22"/>
        </w:rPr>
        <w:t xml:space="preserve">ent Curriculum Committee. </w:t>
      </w:r>
    </w:p>
    <w:p w14:paraId="23DD646C" w14:textId="77777777" w:rsidR="00A66452" w:rsidRPr="00B5547A" w:rsidRDefault="00A66452" w:rsidP="00B02E66">
      <w:pPr>
        <w:pStyle w:val="Heading2"/>
      </w:pPr>
      <w:r w:rsidRPr="00511EEF">
        <w:rPr>
          <w:color w:val="8496B0" w:themeColor="text2" w:themeTint="99"/>
        </w:rPr>
        <w:t>X</w:t>
      </w:r>
      <w:r w:rsidR="00B02E66">
        <w:rPr>
          <w:color w:val="8496B0" w:themeColor="text2" w:themeTint="99"/>
        </w:rPr>
        <w:t>I</w:t>
      </w:r>
      <w:r w:rsidRPr="00511EEF">
        <w:rPr>
          <w:color w:val="8496B0" w:themeColor="text2" w:themeTint="99"/>
        </w:rPr>
        <w:t xml:space="preserve">. Summary of Community Input and Response to Input </w:t>
      </w:r>
    </w:p>
    <w:p w14:paraId="7F623B5A" w14:textId="77777777" w:rsidR="00D224D2" w:rsidRDefault="00D224D2" w:rsidP="00D224D2">
      <w:pPr>
        <w:pStyle w:val="ListParagraph"/>
        <w:ind w:left="360"/>
      </w:pPr>
    </w:p>
    <w:p w14:paraId="768BEDC5" w14:textId="77777777" w:rsidR="00A85594" w:rsidRDefault="00A85594" w:rsidP="00D224D2">
      <w:pPr>
        <w:pStyle w:val="ListParagraph"/>
        <w:ind w:left="360"/>
      </w:pPr>
    </w:p>
    <w:p w14:paraId="712D84FE" w14:textId="77777777" w:rsidR="008B7F13" w:rsidRDefault="008B7F13">
      <w:pPr>
        <w:spacing w:after="160" w:line="259" w:lineRule="auto"/>
        <w:rPr>
          <w:rFonts w:ascii="Cambria" w:eastAsia="Times New Roman" w:hAnsi="Cambria" w:cs="Times New Roman"/>
          <w:b/>
          <w:sz w:val="26"/>
          <w:szCs w:val="26"/>
        </w:rPr>
        <w:sectPr w:rsidR="008B7F13" w:rsidSect="004C30C8">
          <w:footerReference w:type="default" r:id="rId12"/>
          <w:pgSz w:w="12240" w:h="15840"/>
          <w:pgMar w:top="1080" w:right="1440" w:bottom="1080" w:left="1440" w:header="720" w:footer="720" w:gutter="0"/>
          <w:cols w:space="720"/>
          <w:docGrid w:linePitch="360"/>
        </w:sectPr>
      </w:pPr>
    </w:p>
    <w:p w14:paraId="7A53E9CC" w14:textId="77777777" w:rsidR="008B7F13" w:rsidRDefault="007F7069">
      <w:pPr>
        <w:spacing w:after="160" w:line="259" w:lineRule="auto"/>
        <w:rPr>
          <w:rFonts w:ascii="Cambria" w:eastAsia="Times New Roman" w:hAnsi="Cambria" w:cs="Times New Roman"/>
          <w:b/>
          <w:sz w:val="26"/>
          <w:szCs w:val="26"/>
        </w:rPr>
      </w:pPr>
      <w:r>
        <w:rPr>
          <w:rFonts w:ascii="Cambria" w:eastAsia="Times New Roman" w:hAnsi="Cambria" w:cs="Times New Roman"/>
          <w:b/>
          <w:sz w:val="26"/>
          <w:szCs w:val="26"/>
        </w:rPr>
        <w:lastRenderedPageBreak/>
        <w:t>APPENDI</w:t>
      </w:r>
      <w:r w:rsidRPr="00E14858">
        <w:rPr>
          <w:rFonts w:ascii="Cambria" w:eastAsia="Times New Roman" w:hAnsi="Cambria" w:cs="Times New Roman"/>
          <w:b/>
          <w:sz w:val="26"/>
          <w:szCs w:val="26"/>
        </w:rPr>
        <w:t>X</w:t>
      </w:r>
      <w:r w:rsidR="00977118" w:rsidRPr="00E14858">
        <w:rPr>
          <w:rFonts w:ascii="Cambria" w:eastAsia="Times New Roman" w:hAnsi="Cambria" w:cs="Times New Roman"/>
          <w:b/>
          <w:sz w:val="26"/>
          <w:szCs w:val="26"/>
        </w:rPr>
        <w:t xml:space="preserve"> </w:t>
      </w:r>
      <w:r w:rsidR="006162DA" w:rsidRPr="00E14858">
        <w:rPr>
          <w:rFonts w:ascii="Cambria" w:eastAsia="Times New Roman" w:hAnsi="Cambria" w:cs="Times New Roman"/>
          <w:b/>
          <w:sz w:val="26"/>
          <w:szCs w:val="26"/>
        </w:rPr>
        <w:t>A</w:t>
      </w:r>
      <w:r w:rsidRPr="00E14858">
        <w:rPr>
          <w:rFonts w:ascii="Cambria" w:eastAsia="Times New Roman" w:hAnsi="Cambria" w:cs="Times New Roman"/>
          <w:b/>
          <w:sz w:val="26"/>
          <w:szCs w:val="26"/>
        </w:rPr>
        <w:t xml:space="preserve">: </w:t>
      </w:r>
      <w:r w:rsidR="000D22BC" w:rsidRPr="00E14858">
        <w:rPr>
          <w:rFonts w:ascii="Cambria" w:eastAsia="Times New Roman" w:hAnsi="Cambria" w:cs="Times New Roman"/>
          <w:b/>
          <w:sz w:val="26"/>
          <w:szCs w:val="26"/>
        </w:rPr>
        <w:t>Projections based on numbers supplied by NTID Admissions</w:t>
      </w:r>
    </w:p>
    <w:tbl>
      <w:tblPr>
        <w:tblpPr w:leftFromText="180" w:rightFromText="180" w:vertAnchor="page" w:horzAnchor="margin" w:tblpXSpec="center" w:tblpY="1354"/>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94"/>
        <w:gridCol w:w="1019"/>
        <w:gridCol w:w="990"/>
        <w:gridCol w:w="810"/>
        <w:gridCol w:w="1050"/>
        <w:gridCol w:w="990"/>
        <w:gridCol w:w="32"/>
        <w:gridCol w:w="900"/>
        <w:gridCol w:w="780"/>
        <w:gridCol w:w="990"/>
        <w:gridCol w:w="990"/>
        <w:gridCol w:w="1080"/>
      </w:tblGrid>
      <w:tr w:rsidR="00203B2F" w14:paraId="4837C188" w14:textId="77777777" w:rsidTr="006A5FE6">
        <w:trPr>
          <w:trHeight w:val="263"/>
        </w:trPr>
        <w:tc>
          <w:tcPr>
            <w:tcW w:w="11425" w:type="dxa"/>
            <w:gridSpan w:val="12"/>
          </w:tcPr>
          <w:p w14:paraId="003D3C1C" w14:textId="77777777" w:rsidR="00203B2F" w:rsidRPr="005E0146" w:rsidRDefault="00203B2F" w:rsidP="00CB51AD">
            <w:pPr>
              <w:autoSpaceDE w:val="0"/>
              <w:autoSpaceDN w:val="0"/>
              <w:adjustRightInd w:val="0"/>
              <w:jc w:val="center"/>
              <w:rPr>
                <w:rFonts w:ascii="Calibri" w:hAnsi="Calibri" w:cs="Calibri"/>
                <w:b/>
                <w:bCs/>
                <w:color w:val="000000"/>
                <w:sz w:val="28"/>
                <w:szCs w:val="28"/>
              </w:rPr>
            </w:pPr>
            <w:r w:rsidRPr="005E0146">
              <w:rPr>
                <w:rFonts w:ascii="Calibri" w:hAnsi="Calibri" w:cs="Calibri"/>
                <w:b/>
                <w:bCs/>
                <w:color w:val="000000"/>
                <w:sz w:val="28"/>
                <w:szCs w:val="28"/>
              </w:rPr>
              <w:t xml:space="preserve">NTID </w:t>
            </w:r>
            <w:r w:rsidR="00CB51AD">
              <w:rPr>
                <w:rFonts w:ascii="Calibri" w:hAnsi="Calibri" w:cs="Calibri"/>
                <w:b/>
                <w:bCs/>
                <w:color w:val="000000"/>
                <w:sz w:val="28"/>
                <w:szCs w:val="28"/>
              </w:rPr>
              <w:t>CULINARY ARTS</w:t>
            </w:r>
            <w:r w:rsidRPr="005E0146">
              <w:rPr>
                <w:rFonts w:ascii="Calibri" w:hAnsi="Calibri" w:cs="Calibri"/>
                <w:b/>
                <w:bCs/>
                <w:color w:val="000000"/>
                <w:sz w:val="28"/>
                <w:szCs w:val="28"/>
              </w:rPr>
              <w:t xml:space="preserve"> A</w:t>
            </w:r>
            <w:r w:rsidR="00CB51AD">
              <w:rPr>
                <w:rFonts w:ascii="Calibri" w:hAnsi="Calibri" w:cs="Calibri"/>
                <w:b/>
                <w:bCs/>
                <w:color w:val="000000"/>
                <w:sz w:val="28"/>
                <w:szCs w:val="28"/>
              </w:rPr>
              <w:t>O</w:t>
            </w:r>
            <w:r w:rsidRPr="005E0146">
              <w:rPr>
                <w:rFonts w:ascii="Calibri" w:hAnsi="Calibri" w:cs="Calibri"/>
                <w:b/>
                <w:bCs/>
                <w:color w:val="000000"/>
                <w:sz w:val="28"/>
                <w:szCs w:val="28"/>
              </w:rPr>
              <w:t>S—ENROLLMENT PROJECTIONS</w:t>
            </w:r>
          </w:p>
        </w:tc>
      </w:tr>
      <w:tr w:rsidR="00594DDF" w14:paraId="55015BD5" w14:textId="77777777" w:rsidTr="00594DDF">
        <w:trPr>
          <w:trHeight w:val="263"/>
        </w:trPr>
        <w:tc>
          <w:tcPr>
            <w:tcW w:w="1794" w:type="dxa"/>
          </w:tcPr>
          <w:p w14:paraId="1E086390" w14:textId="77777777" w:rsidR="00594DDF" w:rsidRDefault="00594DDF" w:rsidP="007F7069">
            <w:pPr>
              <w:autoSpaceDE w:val="0"/>
              <w:autoSpaceDN w:val="0"/>
              <w:adjustRightInd w:val="0"/>
              <w:jc w:val="center"/>
              <w:rPr>
                <w:rFonts w:ascii="Calibri" w:hAnsi="Calibri" w:cs="Calibri"/>
                <w:color w:val="000000"/>
                <w:sz w:val="22"/>
                <w:szCs w:val="22"/>
              </w:rPr>
            </w:pPr>
          </w:p>
        </w:tc>
        <w:tc>
          <w:tcPr>
            <w:tcW w:w="2819" w:type="dxa"/>
            <w:gridSpan w:val="3"/>
          </w:tcPr>
          <w:p w14:paraId="42E0556B" w14:textId="77777777" w:rsidR="00594DDF" w:rsidRPr="00D837DF" w:rsidRDefault="00594DDF" w:rsidP="007F7069">
            <w:pPr>
              <w:autoSpaceDE w:val="0"/>
              <w:autoSpaceDN w:val="0"/>
              <w:adjustRightInd w:val="0"/>
              <w:jc w:val="center"/>
              <w:rPr>
                <w:rFonts w:ascii="Calibri" w:hAnsi="Calibri" w:cs="Calibri"/>
                <w:b/>
                <w:color w:val="FF0000"/>
                <w:sz w:val="28"/>
                <w:szCs w:val="28"/>
              </w:rPr>
            </w:pPr>
            <w:r w:rsidRPr="00D837DF">
              <w:rPr>
                <w:rFonts w:ascii="Calibri" w:hAnsi="Calibri" w:cs="Calibri"/>
                <w:b/>
                <w:color w:val="FF0000"/>
                <w:sz w:val="28"/>
                <w:szCs w:val="28"/>
              </w:rPr>
              <w:t>Year 1</w:t>
            </w:r>
          </w:p>
        </w:tc>
        <w:tc>
          <w:tcPr>
            <w:tcW w:w="1050" w:type="dxa"/>
          </w:tcPr>
          <w:p w14:paraId="3339B600" w14:textId="77777777" w:rsidR="00594DDF" w:rsidRDefault="00594DDF" w:rsidP="007F7069">
            <w:pPr>
              <w:autoSpaceDE w:val="0"/>
              <w:autoSpaceDN w:val="0"/>
              <w:adjustRightInd w:val="0"/>
              <w:jc w:val="center"/>
              <w:rPr>
                <w:rFonts w:ascii="Calibri" w:hAnsi="Calibri" w:cs="Calibri"/>
                <w:b/>
                <w:bCs/>
                <w:color w:val="000000"/>
                <w:sz w:val="22"/>
                <w:szCs w:val="22"/>
              </w:rPr>
            </w:pPr>
          </w:p>
        </w:tc>
        <w:tc>
          <w:tcPr>
            <w:tcW w:w="990" w:type="dxa"/>
          </w:tcPr>
          <w:p w14:paraId="4807E675" w14:textId="77777777" w:rsidR="00594DDF" w:rsidRPr="00D837DF" w:rsidRDefault="00594DDF" w:rsidP="007F7069">
            <w:pPr>
              <w:autoSpaceDE w:val="0"/>
              <w:autoSpaceDN w:val="0"/>
              <w:adjustRightInd w:val="0"/>
              <w:jc w:val="center"/>
              <w:rPr>
                <w:rFonts w:ascii="Calibri" w:hAnsi="Calibri" w:cs="Calibri"/>
                <w:b/>
                <w:color w:val="339966"/>
                <w:sz w:val="28"/>
                <w:szCs w:val="28"/>
              </w:rPr>
            </w:pPr>
          </w:p>
        </w:tc>
        <w:tc>
          <w:tcPr>
            <w:tcW w:w="3692" w:type="dxa"/>
            <w:gridSpan w:val="5"/>
          </w:tcPr>
          <w:p w14:paraId="7220E2C7" w14:textId="77777777" w:rsidR="00594DDF" w:rsidRPr="00D837DF" w:rsidRDefault="00594DDF" w:rsidP="007F7069">
            <w:pPr>
              <w:autoSpaceDE w:val="0"/>
              <w:autoSpaceDN w:val="0"/>
              <w:adjustRightInd w:val="0"/>
              <w:jc w:val="center"/>
              <w:rPr>
                <w:rFonts w:ascii="Calibri" w:hAnsi="Calibri" w:cs="Calibri"/>
                <w:b/>
                <w:color w:val="339966"/>
                <w:sz w:val="28"/>
                <w:szCs w:val="28"/>
              </w:rPr>
            </w:pPr>
            <w:r w:rsidRPr="00D837DF">
              <w:rPr>
                <w:rFonts w:ascii="Calibri" w:hAnsi="Calibri" w:cs="Calibri"/>
                <w:b/>
                <w:color w:val="339966"/>
                <w:sz w:val="28"/>
                <w:szCs w:val="28"/>
              </w:rPr>
              <w:t>Year 2</w:t>
            </w:r>
          </w:p>
        </w:tc>
        <w:tc>
          <w:tcPr>
            <w:tcW w:w="1080" w:type="dxa"/>
          </w:tcPr>
          <w:p w14:paraId="72A8E90C" w14:textId="77777777" w:rsidR="00594DDF" w:rsidRDefault="00594DDF" w:rsidP="007F7069">
            <w:pPr>
              <w:autoSpaceDE w:val="0"/>
              <w:autoSpaceDN w:val="0"/>
              <w:adjustRightInd w:val="0"/>
              <w:jc w:val="center"/>
              <w:rPr>
                <w:rFonts w:ascii="Calibri" w:hAnsi="Calibri" w:cs="Calibri"/>
                <w:b/>
                <w:bCs/>
                <w:color w:val="000000"/>
                <w:sz w:val="22"/>
                <w:szCs w:val="22"/>
              </w:rPr>
            </w:pPr>
          </w:p>
        </w:tc>
      </w:tr>
      <w:tr w:rsidR="00594DDF" w14:paraId="106CCAAD" w14:textId="77777777" w:rsidTr="00F678E5">
        <w:trPr>
          <w:trHeight w:val="263"/>
        </w:trPr>
        <w:tc>
          <w:tcPr>
            <w:tcW w:w="1794" w:type="dxa"/>
          </w:tcPr>
          <w:p w14:paraId="302CD891" w14:textId="77777777" w:rsidR="00594DDF" w:rsidRDefault="00594DDF" w:rsidP="007F7069">
            <w:pPr>
              <w:autoSpaceDE w:val="0"/>
              <w:autoSpaceDN w:val="0"/>
              <w:adjustRightInd w:val="0"/>
              <w:jc w:val="right"/>
              <w:rPr>
                <w:rFonts w:ascii="Calibri" w:hAnsi="Calibri" w:cs="Calibri"/>
                <w:color w:val="000000"/>
                <w:sz w:val="22"/>
                <w:szCs w:val="22"/>
              </w:rPr>
            </w:pPr>
          </w:p>
        </w:tc>
        <w:tc>
          <w:tcPr>
            <w:tcW w:w="2819" w:type="dxa"/>
            <w:gridSpan w:val="3"/>
            <w:vAlign w:val="bottom"/>
          </w:tcPr>
          <w:p w14:paraId="437CF284" w14:textId="77777777" w:rsidR="00594DDF" w:rsidRDefault="00594DDF" w:rsidP="00CB51AD">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 xml:space="preserve">Enroll </w:t>
            </w:r>
            <w:r w:rsidR="00CB51AD">
              <w:rPr>
                <w:rFonts w:ascii="Calibri" w:hAnsi="Calibri" w:cs="Calibri"/>
                <w:color w:val="FF0000"/>
                <w:sz w:val="22"/>
                <w:szCs w:val="22"/>
              </w:rPr>
              <w:t>6</w:t>
            </w:r>
            <w:r>
              <w:rPr>
                <w:rFonts w:ascii="Calibri" w:hAnsi="Calibri" w:cs="Calibri"/>
                <w:color w:val="FF0000"/>
                <w:sz w:val="22"/>
                <w:szCs w:val="22"/>
              </w:rPr>
              <w:t xml:space="preserve"> Students</w:t>
            </w:r>
          </w:p>
        </w:tc>
        <w:tc>
          <w:tcPr>
            <w:tcW w:w="1050" w:type="dxa"/>
            <w:vAlign w:val="bottom"/>
          </w:tcPr>
          <w:p w14:paraId="2B708281" w14:textId="77777777" w:rsidR="00594DDF" w:rsidRDefault="00594DDF"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Total Per Semesters</w:t>
            </w:r>
          </w:p>
        </w:tc>
        <w:tc>
          <w:tcPr>
            <w:tcW w:w="3692" w:type="dxa"/>
            <w:gridSpan w:val="5"/>
            <w:vAlign w:val="bottom"/>
          </w:tcPr>
          <w:p w14:paraId="164B4C75" w14:textId="77777777" w:rsidR="00594DDF" w:rsidRDefault="00594DDF" w:rsidP="00CB51AD">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 xml:space="preserve">Enroll </w:t>
            </w:r>
            <w:r w:rsidR="00CB51AD">
              <w:rPr>
                <w:rFonts w:ascii="Calibri" w:hAnsi="Calibri" w:cs="Calibri"/>
                <w:color w:val="339966"/>
                <w:sz w:val="22"/>
                <w:szCs w:val="22"/>
              </w:rPr>
              <w:t>7</w:t>
            </w:r>
            <w:r>
              <w:rPr>
                <w:rFonts w:ascii="Calibri" w:hAnsi="Calibri" w:cs="Calibri"/>
                <w:color w:val="339966"/>
                <w:sz w:val="22"/>
                <w:szCs w:val="22"/>
              </w:rPr>
              <w:t xml:space="preserve"> Students</w:t>
            </w:r>
          </w:p>
        </w:tc>
        <w:tc>
          <w:tcPr>
            <w:tcW w:w="990" w:type="dxa"/>
            <w:vAlign w:val="bottom"/>
          </w:tcPr>
          <w:p w14:paraId="61C0E3D1"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Persisting</w:t>
            </w:r>
          </w:p>
        </w:tc>
        <w:tc>
          <w:tcPr>
            <w:tcW w:w="1080" w:type="dxa"/>
            <w:vAlign w:val="bottom"/>
          </w:tcPr>
          <w:p w14:paraId="3FF0B56C" w14:textId="77777777" w:rsidR="00594DDF" w:rsidRDefault="00594DDF"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Total Per Semesters</w:t>
            </w:r>
          </w:p>
        </w:tc>
      </w:tr>
      <w:tr w:rsidR="00594DDF" w14:paraId="75F4F45E" w14:textId="77777777" w:rsidTr="00594DDF">
        <w:trPr>
          <w:trHeight w:val="1073"/>
        </w:trPr>
        <w:tc>
          <w:tcPr>
            <w:tcW w:w="1794" w:type="dxa"/>
          </w:tcPr>
          <w:p w14:paraId="38A80B8A" w14:textId="77777777" w:rsidR="00594DDF" w:rsidRDefault="00594DDF" w:rsidP="007F7069">
            <w:pPr>
              <w:autoSpaceDE w:val="0"/>
              <w:autoSpaceDN w:val="0"/>
              <w:adjustRightInd w:val="0"/>
              <w:jc w:val="right"/>
              <w:rPr>
                <w:rFonts w:ascii="Calibri" w:hAnsi="Calibri" w:cs="Calibri"/>
                <w:color w:val="000000"/>
                <w:sz w:val="22"/>
                <w:szCs w:val="22"/>
              </w:rPr>
            </w:pPr>
          </w:p>
        </w:tc>
        <w:tc>
          <w:tcPr>
            <w:tcW w:w="1019" w:type="dxa"/>
            <w:vAlign w:val="bottom"/>
          </w:tcPr>
          <w:p w14:paraId="21CF8BEB" w14:textId="77777777" w:rsidR="00594DDF" w:rsidRDefault="00594DDF"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Internal Transfer</w:t>
            </w:r>
          </w:p>
        </w:tc>
        <w:tc>
          <w:tcPr>
            <w:tcW w:w="990" w:type="dxa"/>
            <w:vAlign w:val="bottom"/>
          </w:tcPr>
          <w:p w14:paraId="32378798" w14:textId="77777777" w:rsidR="00594DDF" w:rsidRDefault="00594DDF"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Would come to NTID w/o program</w:t>
            </w:r>
          </w:p>
        </w:tc>
        <w:tc>
          <w:tcPr>
            <w:tcW w:w="810" w:type="dxa"/>
            <w:vAlign w:val="bottom"/>
          </w:tcPr>
          <w:p w14:paraId="1759A82A" w14:textId="77777777" w:rsidR="00594DDF" w:rsidRDefault="00594DDF"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NEW to NTID</w:t>
            </w:r>
          </w:p>
        </w:tc>
        <w:tc>
          <w:tcPr>
            <w:tcW w:w="1050" w:type="dxa"/>
            <w:vAlign w:val="bottom"/>
          </w:tcPr>
          <w:p w14:paraId="659513D8" w14:textId="77777777" w:rsidR="00594DDF" w:rsidRDefault="00594DDF"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 xml:space="preserve">TOTAL </w:t>
            </w:r>
          </w:p>
        </w:tc>
        <w:tc>
          <w:tcPr>
            <w:tcW w:w="1022" w:type="dxa"/>
            <w:gridSpan w:val="2"/>
            <w:vAlign w:val="bottom"/>
          </w:tcPr>
          <w:p w14:paraId="23273557"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Internal Transfer</w:t>
            </w:r>
          </w:p>
        </w:tc>
        <w:tc>
          <w:tcPr>
            <w:tcW w:w="900" w:type="dxa"/>
            <w:vAlign w:val="bottom"/>
          </w:tcPr>
          <w:p w14:paraId="3236055A"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Would come to NTID w/o program</w:t>
            </w:r>
          </w:p>
        </w:tc>
        <w:tc>
          <w:tcPr>
            <w:tcW w:w="780" w:type="dxa"/>
            <w:vAlign w:val="bottom"/>
          </w:tcPr>
          <w:p w14:paraId="5D7810C1"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NEW to NTID</w:t>
            </w:r>
          </w:p>
        </w:tc>
        <w:tc>
          <w:tcPr>
            <w:tcW w:w="990" w:type="dxa"/>
            <w:vAlign w:val="bottom"/>
          </w:tcPr>
          <w:p w14:paraId="6227ABC1" w14:textId="77777777" w:rsidR="00594DDF" w:rsidRPr="00594DDF" w:rsidRDefault="00594DDF" w:rsidP="00594DDF">
            <w:pPr>
              <w:autoSpaceDE w:val="0"/>
              <w:autoSpaceDN w:val="0"/>
              <w:adjustRightInd w:val="0"/>
              <w:jc w:val="center"/>
              <w:rPr>
                <w:rFonts w:ascii="Calibri" w:hAnsi="Calibri" w:cs="Calibri"/>
                <w:b/>
                <w:color w:val="339966"/>
                <w:sz w:val="22"/>
                <w:szCs w:val="22"/>
              </w:rPr>
            </w:pPr>
            <w:r w:rsidRPr="00594DDF">
              <w:rPr>
                <w:rFonts w:ascii="Calibri" w:hAnsi="Calibri" w:cs="Calibri"/>
                <w:b/>
                <w:color w:val="339966"/>
                <w:sz w:val="22"/>
                <w:szCs w:val="22"/>
              </w:rPr>
              <w:t>Total</w:t>
            </w:r>
          </w:p>
        </w:tc>
        <w:tc>
          <w:tcPr>
            <w:tcW w:w="990" w:type="dxa"/>
            <w:vAlign w:val="bottom"/>
          </w:tcPr>
          <w:p w14:paraId="26F4FDAE"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 xml:space="preserve">From </w:t>
            </w:r>
            <w:r>
              <w:rPr>
                <w:rFonts w:ascii="Calibri" w:hAnsi="Calibri" w:cs="Calibri"/>
                <w:color w:val="339966"/>
                <w:sz w:val="22"/>
                <w:szCs w:val="22"/>
              </w:rPr>
              <w:br/>
              <w:t>Year</w:t>
            </w:r>
            <w:r>
              <w:rPr>
                <w:rFonts w:ascii="Calibri" w:hAnsi="Calibri" w:cs="Calibri"/>
                <w:color w:val="339966"/>
                <w:sz w:val="22"/>
                <w:szCs w:val="22"/>
              </w:rPr>
              <w:br/>
              <w:t xml:space="preserve"> 1</w:t>
            </w:r>
          </w:p>
        </w:tc>
        <w:tc>
          <w:tcPr>
            <w:tcW w:w="1080" w:type="dxa"/>
            <w:vAlign w:val="bottom"/>
          </w:tcPr>
          <w:p w14:paraId="1FB4CBA3" w14:textId="77777777" w:rsidR="00594DDF" w:rsidRDefault="00594DDF"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TOTAL</w:t>
            </w:r>
          </w:p>
        </w:tc>
      </w:tr>
      <w:tr w:rsidR="00594DDF" w14:paraId="05CE4AF2" w14:textId="77777777" w:rsidTr="00594DDF">
        <w:trPr>
          <w:trHeight w:val="252"/>
        </w:trPr>
        <w:tc>
          <w:tcPr>
            <w:tcW w:w="1794" w:type="dxa"/>
          </w:tcPr>
          <w:p w14:paraId="514FB747" w14:textId="77777777" w:rsidR="00594DDF" w:rsidRDefault="00594DDF" w:rsidP="007F7069">
            <w:pPr>
              <w:autoSpaceDE w:val="0"/>
              <w:autoSpaceDN w:val="0"/>
              <w:adjustRightInd w:val="0"/>
              <w:rPr>
                <w:rFonts w:ascii="Calibri" w:hAnsi="Calibri" w:cs="Calibri"/>
                <w:color w:val="000000"/>
                <w:sz w:val="22"/>
                <w:szCs w:val="22"/>
              </w:rPr>
            </w:pPr>
            <w:r>
              <w:rPr>
                <w:rFonts w:ascii="Calibri" w:hAnsi="Calibri" w:cs="Calibri"/>
                <w:color w:val="000000"/>
                <w:sz w:val="22"/>
                <w:szCs w:val="22"/>
              </w:rPr>
              <w:t>Fall Semester</w:t>
            </w:r>
          </w:p>
        </w:tc>
        <w:tc>
          <w:tcPr>
            <w:tcW w:w="1019" w:type="dxa"/>
          </w:tcPr>
          <w:p w14:paraId="7A3705D1" w14:textId="77777777" w:rsidR="00594DDF" w:rsidRDefault="00CB51AD"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2</w:t>
            </w:r>
          </w:p>
        </w:tc>
        <w:tc>
          <w:tcPr>
            <w:tcW w:w="990" w:type="dxa"/>
          </w:tcPr>
          <w:p w14:paraId="2BE719C3" w14:textId="77777777" w:rsidR="00594DDF" w:rsidRDefault="00594DDF"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1</w:t>
            </w:r>
          </w:p>
        </w:tc>
        <w:tc>
          <w:tcPr>
            <w:tcW w:w="810" w:type="dxa"/>
          </w:tcPr>
          <w:p w14:paraId="5BD42AF9" w14:textId="77777777" w:rsidR="00594DDF" w:rsidRDefault="00CB51AD"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3</w:t>
            </w:r>
          </w:p>
        </w:tc>
        <w:tc>
          <w:tcPr>
            <w:tcW w:w="1050" w:type="dxa"/>
          </w:tcPr>
          <w:p w14:paraId="75818A31" w14:textId="77777777" w:rsidR="00594DDF" w:rsidRDefault="00CB51AD"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6</w:t>
            </w:r>
          </w:p>
        </w:tc>
        <w:tc>
          <w:tcPr>
            <w:tcW w:w="1022" w:type="dxa"/>
            <w:gridSpan w:val="2"/>
          </w:tcPr>
          <w:p w14:paraId="059F5DAF"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2</w:t>
            </w:r>
          </w:p>
        </w:tc>
        <w:tc>
          <w:tcPr>
            <w:tcW w:w="900" w:type="dxa"/>
          </w:tcPr>
          <w:p w14:paraId="4DD9BAFF"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1</w:t>
            </w:r>
          </w:p>
        </w:tc>
        <w:tc>
          <w:tcPr>
            <w:tcW w:w="780" w:type="dxa"/>
          </w:tcPr>
          <w:p w14:paraId="34E799DC" w14:textId="77777777" w:rsidR="00594DDF" w:rsidRDefault="00CB51AD"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4</w:t>
            </w:r>
          </w:p>
        </w:tc>
        <w:tc>
          <w:tcPr>
            <w:tcW w:w="990" w:type="dxa"/>
          </w:tcPr>
          <w:p w14:paraId="340662DE" w14:textId="77777777" w:rsidR="00594DDF" w:rsidRPr="00594DDF" w:rsidRDefault="00CB51AD" w:rsidP="007F7069">
            <w:pPr>
              <w:autoSpaceDE w:val="0"/>
              <w:autoSpaceDN w:val="0"/>
              <w:adjustRightInd w:val="0"/>
              <w:jc w:val="center"/>
              <w:rPr>
                <w:rFonts w:ascii="Calibri" w:hAnsi="Calibri" w:cs="Calibri"/>
                <w:b/>
                <w:color w:val="339966"/>
                <w:sz w:val="22"/>
                <w:szCs w:val="22"/>
              </w:rPr>
            </w:pPr>
            <w:r>
              <w:rPr>
                <w:rFonts w:ascii="Calibri" w:hAnsi="Calibri" w:cs="Calibri"/>
                <w:b/>
                <w:color w:val="339966"/>
                <w:sz w:val="22"/>
                <w:szCs w:val="22"/>
              </w:rPr>
              <w:t>7</w:t>
            </w:r>
          </w:p>
        </w:tc>
        <w:tc>
          <w:tcPr>
            <w:tcW w:w="990" w:type="dxa"/>
          </w:tcPr>
          <w:p w14:paraId="740B9F3C" w14:textId="77777777" w:rsidR="00594DDF" w:rsidRDefault="00CB51AD"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5</w:t>
            </w:r>
          </w:p>
        </w:tc>
        <w:tc>
          <w:tcPr>
            <w:tcW w:w="1080" w:type="dxa"/>
          </w:tcPr>
          <w:p w14:paraId="7CE8B0A9" w14:textId="77777777" w:rsidR="00594DDF" w:rsidRDefault="00594DDF" w:rsidP="00CB51A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w:t>
            </w:r>
            <w:r w:rsidR="00CB51AD">
              <w:rPr>
                <w:rFonts w:ascii="Calibri" w:hAnsi="Calibri" w:cs="Calibri"/>
                <w:b/>
                <w:bCs/>
                <w:color w:val="000000"/>
                <w:sz w:val="22"/>
                <w:szCs w:val="22"/>
              </w:rPr>
              <w:t>2</w:t>
            </w:r>
          </w:p>
        </w:tc>
      </w:tr>
      <w:tr w:rsidR="00594DDF" w14:paraId="1B850647" w14:textId="77777777" w:rsidTr="00594DDF">
        <w:trPr>
          <w:trHeight w:val="252"/>
        </w:trPr>
        <w:tc>
          <w:tcPr>
            <w:tcW w:w="1794" w:type="dxa"/>
          </w:tcPr>
          <w:p w14:paraId="561DC9A7" w14:textId="77777777" w:rsidR="00594DDF" w:rsidRDefault="00594DDF" w:rsidP="007F7069">
            <w:pPr>
              <w:autoSpaceDE w:val="0"/>
              <w:autoSpaceDN w:val="0"/>
              <w:adjustRightInd w:val="0"/>
              <w:rPr>
                <w:rFonts w:ascii="Calibri" w:hAnsi="Calibri" w:cs="Calibri"/>
                <w:color w:val="000000"/>
                <w:sz w:val="22"/>
                <w:szCs w:val="22"/>
              </w:rPr>
            </w:pPr>
            <w:r>
              <w:rPr>
                <w:rFonts w:ascii="Calibri" w:hAnsi="Calibri" w:cs="Calibri"/>
                <w:color w:val="000000"/>
                <w:sz w:val="22"/>
                <w:szCs w:val="22"/>
              </w:rPr>
              <w:t>Spring Semester</w:t>
            </w:r>
          </w:p>
        </w:tc>
        <w:tc>
          <w:tcPr>
            <w:tcW w:w="1019" w:type="dxa"/>
          </w:tcPr>
          <w:p w14:paraId="4FCDFE28" w14:textId="77777777" w:rsidR="00594DDF" w:rsidRDefault="00CB51AD"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2</w:t>
            </w:r>
          </w:p>
        </w:tc>
        <w:tc>
          <w:tcPr>
            <w:tcW w:w="990" w:type="dxa"/>
          </w:tcPr>
          <w:p w14:paraId="2C9C335A" w14:textId="77777777" w:rsidR="00594DDF" w:rsidRDefault="00594DDF"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1</w:t>
            </w:r>
          </w:p>
        </w:tc>
        <w:tc>
          <w:tcPr>
            <w:tcW w:w="810" w:type="dxa"/>
          </w:tcPr>
          <w:p w14:paraId="7F6ACFF8" w14:textId="77777777" w:rsidR="00594DDF" w:rsidRDefault="00CB51AD" w:rsidP="007F7069">
            <w:pPr>
              <w:autoSpaceDE w:val="0"/>
              <w:autoSpaceDN w:val="0"/>
              <w:adjustRightInd w:val="0"/>
              <w:jc w:val="center"/>
              <w:rPr>
                <w:rFonts w:ascii="Calibri" w:hAnsi="Calibri" w:cs="Calibri"/>
                <w:color w:val="FF0000"/>
                <w:sz w:val="22"/>
                <w:szCs w:val="22"/>
              </w:rPr>
            </w:pPr>
            <w:r>
              <w:rPr>
                <w:rFonts w:ascii="Calibri" w:hAnsi="Calibri" w:cs="Calibri"/>
                <w:color w:val="FF0000"/>
                <w:sz w:val="22"/>
                <w:szCs w:val="22"/>
              </w:rPr>
              <w:t>3</w:t>
            </w:r>
          </w:p>
        </w:tc>
        <w:tc>
          <w:tcPr>
            <w:tcW w:w="1050" w:type="dxa"/>
          </w:tcPr>
          <w:p w14:paraId="3FB959DA" w14:textId="77777777" w:rsidR="00594DDF" w:rsidRDefault="00CB51AD" w:rsidP="007F706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6</w:t>
            </w:r>
          </w:p>
        </w:tc>
        <w:tc>
          <w:tcPr>
            <w:tcW w:w="1022" w:type="dxa"/>
            <w:gridSpan w:val="2"/>
          </w:tcPr>
          <w:p w14:paraId="44B8C44E"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2</w:t>
            </w:r>
          </w:p>
        </w:tc>
        <w:tc>
          <w:tcPr>
            <w:tcW w:w="900" w:type="dxa"/>
          </w:tcPr>
          <w:p w14:paraId="7F4FC271" w14:textId="77777777" w:rsidR="00594DDF" w:rsidRDefault="00594DDF"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1</w:t>
            </w:r>
          </w:p>
        </w:tc>
        <w:tc>
          <w:tcPr>
            <w:tcW w:w="780" w:type="dxa"/>
          </w:tcPr>
          <w:p w14:paraId="31E36EA6" w14:textId="77777777" w:rsidR="00594DDF" w:rsidRDefault="00CB51AD"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4</w:t>
            </w:r>
          </w:p>
        </w:tc>
        <w:tc>
          <w:tcPr>
            <w:tcW w:w="990" w:type="dxa"/>
          </w:tcPr>
          <w:p w14:paraId="7D18AB0C" w14:textId="77777777" w:rsidR="00594DDF" w:rsidRPr="00594DDF" w:rsidRDefault="00CB51AD" w:rsidP="007F7069">
            <w:pPr>
              <w:autoSpaceDE w:val="0"/>
              <w:autoSpaceDN w:val="0"/>
              <w:adjustRightInd w:val="0"/>
              <w:jc w:val="center"/>
              <w:rPr>
                <w:rFonts w:ascii="Calibri" w:hAnsi="Calibri" w:cs="Calibri"/>
                <w:b/>
                <w:color w:val="339966"/>
                <w:sz w:val="22"/>
                <w:szCs w:val="22"/>
              </w:rPr>
            </w:pPr>
            <w:r>
              <w:rPr>
                <w:rFonts w:ascii="Calibri" w:hAnsi="Calibri" w:cs="Calibri"/>
                <w:b/>
                <w:color w:val="339966"/>
                <w:sz w:val="22"/>
                <w:szCs w:val="22"/>
              </w:rPr>
              <w:t>7</w:t>
            </w:r>
          </w:p>
        </w:tc>
        <w:tc>
          <w:tcPr>
            <w:tcW w:w="990" w:type="dxa"/>
          </w:tcPr>
          <w:p w14:paraId="3666D5E9" w14:textId="77777777" w:rsidR="00594DDF" w:rsidRDefault="00CB51AD" w:rsidP="007F7069">
            <w:pPr>
              <w:autoSpaceDE w:val="0"/>
              <w:autoSpaceDN w:val="0"/>
              <w:adjustRightInd w:val="0"/>
              <w:jc w:val="center"/>
              <w:rPr>
                <w:rFonts w:ascii="Calibri" w:hAnsi="Calibri" w:cs="Calibri"/>
                <w:color w:val="339966"/>
                <w:sz w:val="22"/>
                <w:szCs w:val="22"/>
              </w:rPr>
            </w:pPr>
            <w:r>
              <w:rPr>
                <w:rFonts w:ascii="Calibri" w:hAnsi="Calibri" w:cs="Calibri"/>
                <w:color w:val="339966"/>
                <w:sz w:val="22"/>
                <w:szCs w:val="22"/>
              </w:rPr>
              <w:t>5</w:t>
            </w:r>
          </w:p>
        </w:tc>
        <w:tc>
          <w:tcPr>
            <w:tcW w:w="1080" w:type="dxa"/>
          </w:tcPr>
          <w:p w14:paraId="22290A83" w14:textId="77777777" w:rsidR="00594DDF" w:rsidRDefault="00594DDF" w:rsidP="00CB51A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w:t>
            </w:r>
            <w:r w:rsidR="00CB51AD">
              <w:rPr>
                <w:rFonts w:ascii="Calibri" w:hAnsi="Calibri" w:cs="Calibri"/>
                <w:b/>
                <w:bCs/>
                <w:color w:val="000000"/>
                <w:sz w:val="22"/>
                <w:szCs w:val="22"/>
              </w:rPr>
              <w:t>2</w:t>
            </w:r>
          </w:p>
        </w:tc>
      </w:tr>
    </w:tbl>
    <w:tbl>
      <w:tblPr>
        <w:tblpPr w:leftFromText="180" w:rightFromText="180" w:vertAnchor="text" w:horzAnchor="margin" w:tblpY="3208"/>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86"/>
        <w:gridCol w:w="680"/>
        <w:gridCol w:w="745"/>
        <w:gridCol w:w="700"/>
        <w:gridCol w:w="686"/>
        <w:gridCol w:w="683"/>
        <w:gridCol w:w="1240"/>
        <w:gridCol w:w="961"/>
        <w:gridCol w:w="986"/>
        <w:gridCol w:w="760"/>
        <w:gridCol w:w="760"/>
        <w:gridCol w:w="700"/>
        <w:gridCol w:w="700"/>
        <w:gridCol w:w="683"/>
        <w:gridCol w:w="1285"/>
      </w:tblGrid>
      <w:tr w:rsidR="00F90FD0" w:rsidRPr="00D837DF" w14:paraId="4D51F018" w14:textId="77777777" w:rsidTr="00F90FD0">
        <w:trPr>
          <w:trHeight w:val="375"/>
        </w:trPr>
        <w:tc>
          <w:tcPr>
            <w:tcW w:w="6681" w:type="dxa"/>
            <w:gridSpan w:val="8"/>
            <w:shd w:val="clear" w:color="auto" w:fill="auto"/>
            <w:noWrap/>
            <w:vAlign w:val="bottom"/>
            <w:hideMark/>
          </w:tcPr>
          <w:p w14:paraId="594E9E98" w14:textId="77777777" w:rsidR="00F90FD0" w:rsidRPr="00D837DF" w:rsidRDefault="00F90FD0" w:rsidP="00F90FD0">
            <w:pPr>
              <w:jc w:val="center"/>
              <w:rPr>
                <w:rFonts w:ascii="Calibri" w:eastAsia="Times New Roman" w:hAnsi="Calibri"/>
                <w:b/>
                <w:bCs/>
                <w:sz w:val="28"/>
                <w:szCs w:val="28"/>
              </w:rPr>
            </w:pPr>
            <w:r w:rsidRPr="00D837DF">
              <w:rPr>
                <w:rFonts w:ascii="Calibri" w:eastAsia="Times New Roman" w:hAnsi="Calibri"/>
                <w:b/>
                <w:bCs/>
                <w:color w:val="2E74B5" w:themeColor="accent1" w:themeShade="BF"/>
                <w:sz w:val="28"/>
                <w:szCs w:val="28"/>
              </w:rPr>
              <w:t>Year 3</w:t>
            </w:r>
          </w:p>
        </w:tc>
        <w:tc>
          <w:tcPr>
            <w:tcW w:w="6835" w:type="dxa"/>
            <w:gridSpan w:val="8"/>
            <w:shd w:val="clear" w:color="auto" w:fill="auto"/>
            <w:noWrap/>
            <w:vAlign w:val="bottom"/>
            <w:hideMark/>
          </w:tcPr>
          <w:p w14:paraId="38270E07" w14:textId="77777777" w:rsidR="00F90FD0" w:rsidRPr="00D837DF" w:rsidRDefault="00F90FD0" w:rsidP="00F90FD0">
            <w:pPr>
              <w:jc w:val="center"/>
              <w:rPr>
                <w:rFonts w:ascii="Calibri" w:eastAsia="Times New Roman" w:hAnsi="Calibri"/>
                <w:b/>
                <w:bCs/>
                <w:sz w:val="28"/>
                <w:szCs w:val="28"/>
              </w:rPr>
            </w:pPr>
            <w:r w:rsidRPr="00D837DF">
              <w:rPr>
                <w:rFonts w:ascii="Calibri" w:eastAsia="Times New Roman" w:hAnsi="Calibri"/>
                <w:b/>
                <w:bCs/>
                <w:color w:val="C45911" w:themeColor="accent2" w:themeShade="BF"/>
                <w:sz w:val="28"/>
                <w:szCs w:val="28"/>
              </w:rPr>
              <w:t>Year 4</w:t>
            </w:r>
          </w:p>
        </w:tc>
      </w:tr>
      <w:tr w:rsidR="00F90FD0" w:rsidRPr="00D837DF" w14:paraId="4B8717CC" w14:textId="77777777" w:rsidTr="00F90FD0">
        <w:trPr>
          <w:trHeight w:val="410"/>
        </w:trPr>
        <w:tc>
          <w:tcPr>
            <w:tcW w:w="3372" w:type="dxa"/>
            <w:gridSpan w:val="4"/>
            <w:shd w:val="clear" w:color="auto" w:fill="auto"/>
            <w:vAlign w:val="bottom"/>
            <w:hideMark/>
          </w:tcPr>
          <w:p w14:paraId="5B74A27B" w14:textId="77777777" w:rsidR="00F90FD0" w:rsidRPr="00D837DF" w:rsidRDefault="00F90FD0" w:rsidP="00F90FD0">
            <w:pPr>
              <w:jc w:val="center"/>
              <w:rPr>
                <w:rFonts w:ascii="Calibri" w:eastAsia="Times New Roman" w:hAnsi="Calibri"/>
                <w:b/>
                <w:bCs/>
                <w:color w:val="2E74B5" w:themeColor="accent1" w:themeShade="BF"/>
                <w:sz w:val="22"/>
                <w:szCs w:val="22"/>
              </w:rPr>
            </w:pPr>
            <w:r w:rsidRPr="00D837DF">
              <w:rPr>
                <w:rFonts w:ascii="Calibri" w:eastAsia="Times New Roman" w:hAnsi="Calibri"/>
                <w:b/>
                <w:bCs/>
                <w:color w:val="2E74B5" w:themeColor="accent1" w:themeShade="BF"/>
                <w:sz w:val="22"/>
                <w:szCs w:val="22"/>
              </w:rPr>
              <w:t xml:space="preserve">Enroll </w:t>
            </w:r>
            <w:r>
              <w:rPr>
                <w:rFonts w:ascii="Calibri" w:eastAsia="Times New Roman" w:hAnsi="Calibri"/>
                <w:b/>
                <w:bCs/>
                <w:color w:val="2E74B5" w:themeColor="accent1" w:themeShade="BF"/>
                <w:sz w:val="22"/>
                <w:szCs w:val="22"/>
              </w:rPr>
              <w:t>8</w:t>
            </w:r>
            <w:r w:rsidRPr="00D837DF">
              <w:rPr>
                <w:rFonts w:ascii="Calibri" w:eastAsia="Times New Roman" w:hAnsi="Calibri"/>
                <w:b/>
                <w:bCs/>
                <w:color w:val="2E74B5" w:themeColor="accent1" w:themeShade="BF"/>
                <w:sz w:val="22"/>
                <w:szCs w:val="22"/>
              </w:rPr>
              <w:t xml:space="preserve"> Students</w:t>
            </w:r>
          </w:p>
        </w:tc>
        <w:tc>
          <w:tcPr>
            <w:tcW w:w="2069" w:type="dxa"/>
            <w:gridSpan w:val="3"/>
            <w:shd w:val="clear" w:color="auto" w:fill="auto"/>
            <w:vAlign w:val="bottom"/>
            <w:hideMark/>
          </w:tcPr>
          <w:p w14:paraId="248A39C1" w14:textId="77777777" w:rsidR="00F90FD0" w:rsidRPr="00D837DF" w:rsidRDefault="00F90FD0" w:rsidP="00F90FD0">
            <w:pPr>
              <w:jc w:val="center"/>
              <w:rPr>
                <w:rFonts w:ascii="Calibri" w:eastAsia="Times New Roman" w:hAnsi="Calibri"/>
                <w:b/>
                <w:bCs/>
                <w:color w:val="2E74B5" w:themeColor="accent1" w:themeShade="BF"/>
                <w:sz w:val="22"/>
                <w:szCs w:val="22"/>
              </w:rPr>
            </w:pPr>
            <w:r w:rsidRPr="00D837DF">
              <w:rPr>
                <w:rFonts w:ascii="Calibri" w:eastAsia="Times New Roman" w:hAnsi="Calibri"/>
                <w:b/>
                <w:bCs/>
                <w:color w:val="2E74B5" w:themeColor="accent1" w:themeShade="BF"/>
                <w:sz w:val="22"/>
                <w:szCs w:val="22"/>
              </w:rPr>
              <w:t>Persisting</w:t>
            </w:r>
          </w:p>
        </w:tc>
        <w:tc>
          <w:tcPr>
            <w:tcW w:w="1240" w:type="dxa"/>
            <w:shd w:val="clear" w:color="auto" w:fill="auto"/>
            <w:vAlign w:val="bottom"/>
            <w:hideMark/>
          </w:tcPr>
          <w:p w14:paraId="65D65842" w14:textId="77777777" w:rsidR="00F90FD0" w:rsidRPr="00D837DF" w:rsidRDefault="00F90FD0" w:rsidP="00F90FD0">
            <w:pPr>
              <w:jc w:val="center"/>
              <w:rPr>
                <w:rFonts w:ascii="Calibri" w:eastAsia="Times New Roman" w:hAnsi="Calibri"/>
                <w:b/>
                <w:bCs/>
                <w:color w:val="000000"/>
                <w:sz w:val="22"/>
                <w:szCs w:val="22"/>
              </w:rPr>
            </w:pPr>
            <w:r w:rsidRPr="00D837DF">
              <w:rPr>
                <w:rFonts w:ascii="Calibri" w:eastAsia="Times New Roman" w:hAnsi="Calibri"/>
                <w:b/>
                <w:bCs/>
                <w:color w:val="000000"/>
                <w:sz w:val="22"/>
                <w:szCs w:val="22"/>
              </w:rPr>
              <w:t>Total per Semester</w:t>
            </w:r>
          </w:p>
        </w:tc>
        <w:tc>
          <w:tcPr>
            <w:tcW w:w="3467" w:type="dxa"/>
            <w:gridSpan w:val="4"/>
            <w:shd w:val="clear" w:color="auto" w:fill="auto"/>
            <w:vAlign w:val="bottom"/>
            <w:hideMark/>
          </w:tcPr>
          <w:p w14:paraId="6B04D030" w14:textId="77777777" w:rsidR="00F90FD0" w:rsidRPr="00D837DF" w:rsidRDefault="00F90FD0" w:rsidP="00F90FD0">
            <w:pPr>
              <w:jc w:val="center"/>
              <w:rPr>
                <w:rFonts w:ascii="Calibri" w:eastAsia="Times New Roman" w:hAnsi="Calibri"/>
                <w:b/>
                <w:bCs/>
                <w:color w:val="C45911" w:themeColor="accent2" w:themeShade="BF"/>
                <w:sz w:val="22"/>
                <w:szCs w:val="22"/>
              </w:rPr>
            </w:pPr>
            <w:r w:rsidRPr="00D837DF">
              <w:rPr>
                <w:rFonts w:ascii="Calibri" w:eastAsia="Times New Roman" w:hAnsi="Calibri"/>
                <w:b/>
                <w:bCs/>
                <w:color w:val="C45911" w:themeColor="accent2" w:themeShade="BF"/>
                <w:sz w:val="22"/>
                <w:szCs w:val="22"/>
              </w:rPr>
              <w:t xml:space="preserve">Enroll </w:t>
            </w:r>
            <w:r>
              <w:rPr>
                <w:rFonts w:ascii="Calibri" w:eastAsia="Times New Roman" w:hAnsi="Calibri"/>
                <w:b/>
                <w:bCs/>
                <w:color w:val="C45911" w:themeColor="accent2" w:themeShade="BF"/>
                <w:sz w:val="22"/>
                <w:szCs w:val="22"/>
              </w:rPr>
              <w:t>9</w:t>
            </w:r>
            <w:r w:rsidRPr="00D837DF">
              <w:rPr>
                <w:rFonts w:ascii="Calibri" w:eastAsia="Times New Roman" w:hAnsi="Calibri"/>
                <w:b/>
                <w:bCs/>
                <w:color w:val="C45911" w:themeColor="accent2" w:themeShade="BF"/>
                <w:sz w:val="22"/>
                <w:szCs w:val="22"/>
              </w:rPr>
              <w:t xml:space="preserve"> Students</w:t>
            </w:r>
          </w:p>
        </w:tc>
        <w:tc>
          <w:tcPr>
            <w:tcW w:w="2083" w:type="dxa"/>
            <w:gridSpan w:val="3"/>
            <w:shd w:val="clear" w:color="auto" w:fill="auto"/>
            <w:vAlign w:val="bottom"/>
            <w:hideMark/>
          </w:tcPr>
          <w:p w14:paraId="32B3B713" w14:textId="77777777" w:rsidR="00F90FD0" w:rsidRPr="00D837DF" w:rsidRDefault="00F90FD0" w:rsidP="00F90FD0">
            <w:pPr>
              <w:jc w:val="center"/>
              <w:rPr>
                <w:rFonts w:ascii="Calibri" w:eastAsia="Times New Roman" w:hAnsi="Calibri"/>
                <w:b/>
                <w:bCs/>
                <w:color w:val="C45911" w:themeColor="accent2" w:themeShade="BF"/>
                <w:sz w:val="22"/>
                <w:szCs w:val="22"/>
              </w:rPr>
            </w:pPr>
            <w:r w:rsidRPr="00D837DF">
              <w:rPr>
                <w:rFonts w:ascii="Calibri" w:eastAsia="Times New Roman" w:hAnsi="Calibri"/>
                <w:b/>
                <w:bCs/>
                <w:color w:val="C45911" w:themeColor="accent2" w:themeShade="BF"/>
                <w:sz w:val="22"/>
                <w:szCs w:val="22"/>
              </w:rPr>
              <w:t>Persisting</w:t>
            </w:r>
          </w:p>
        </w:tc>
        <w:tc>
          <w:tcPr>
            <w:tcW w:w="1285" w:type="dxa"/>
            <w:shd w:val="clear" w:color="auto" w:fill="auto"/>
            <w:vAlign w:val="bottom"/>
            <w:hideMark/>
          </w:tcPr>
          <w:p w14:paraId="338334A3" w14:textId="77777777" w:rsidR="00F90FD0" w:rsidRPr="00D837DF" w:rsidRDefault="00F90FD0" w:rsidP="00F90FD0">
            <w:pPr>
              <w:jc w:val="center"/>
              <w:rPr>
                <w:rFonts w:ascii="Calibri" w:eastAsia="Times New Roman" w:hAnsi="Calibri"/>
                <w:b/>
                <w:bCs/>
                <w:sz w:val="22"/>
                <w:szCs w:val="22"/>
              </w:rPr>
            </w:pPr>
            <w:r w:rsidRPr="00D837DF">
              <w:rPr>
                <w:rFonts w:ascii="Calibri" w:eastAsia="Times New Roman" w:hAnsi="Calibri"/>
                <w:b/>
                <w:bCs/>
                <w:sz w:val="22"/>
                <w:szCs w:val="22"/>
              </w:rPr>
              <w:t>Total per Semester</w:t>
            </w:r>
          </w:p>
        </w:tc>
      </w:tr>
      <w:tr w:rsidR="00F90FD0" w:rsidRPr="00D837DF" w14:paraId="38FCA36C" w14:textId="77777777" w:rsidTr="00F90FD0">
        <w:trPr>
          <w:trHeight w:val="1440"/>
        </w:trPr>
        <w:tc>
          <w:tcPr>
            <w:tcW w:w="961" w:type="dxa"/>
            <w:shd w:val="clear" w:color="auto" w:fill="auto"/>
            <w:vAlign w:val="bottom"/>
            <w:hideMark/>
          </w:tcPr>
          <w:p w14:paraId="18A8CAFF"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Internal Transfer</w:t>
            </w:r>
          </w:p>
        </w:tc>
        <w:tc>
          <w:tcPr>
            <w:tcW w:w="986" w:type="dxa"/>
            <w:shd w:val="clear" w:color="auto" w:fill="auto"/>
            <w:vAlign w:val="bottom"/>
            <w:hideMark/>
          </w:tcPr>
          <w:p w14:paraId="1E8062F8"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Would come to NTID w/o program</w:t>
            </w:r>
          </w:p>
        </w:tc>
        <w:tc>
          <w:tcPr>
            <w:tcW w:w="680" w:type="dxa"/>
            <w:shd w:val="clear" w:color="auto" w:fill="auto"/>
            <w:vAlign w:val="bottom"/>
            <w:hideMark/>
          </w:tcPr>
          <w:p w14:paraId="3E617EC3"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NEW to NTID</w:t>
            </w:r>
          </w:p>
        </w:tc>
        <w:tc>
          <w:tcPr>
            <w:tcW w:w="745" w:type="dxa"/>
            <w:shd w:val="clear" w:color="auto" w:fill="auto"/>
            <w:vAlign w:val="bottom"/>
            <w:hideMark/>
          </w:tcPr>
          <w:p w14:paraId="3D48E14C" w14:textId="77777777" w:rsidR="00F90FD0" w:rsidRPr="00D837DF" w:rsidRDefault="00F90FD0" w:rsidP="00F90FD0">
            <w:pPr>
              <w:jc w:val="center"/>
              <w:rPr>
                <w:rFonts w:ascii="Calibri" w:eastAsia="Times New Roman" w:hAnsi="Calibri"/>
                <w:b/>
                <w:bCs/>
                <w:color w:val="2E74B5" w:themeColor="accent1" w:themeShade="BF"/>
                <w:sz w:val="22"/>
                <w:szCs w:val="22"/>
              </w:rPr>
            </w:pPr>
            <w:r w:rsidRPr="00D837DF">
              <w:rPr>
                <w:rFonts w:ascii="Calibri" w:eastAsia="Times New Roman" w:hAnsi="Calibri"/>
                <w:b/>
                <w:bCs/>
                <w:color w:val="2E74B5" w:themeColor="accent1" w:themeShade="BF"/>
                <w:sz w:val="22"/>
                <w:szCs w:val="22"/>
              </w:rPr>
              <w:t xml:space="preserve">Total </w:t>
            </w:r>
          </w:p>
        </w:tc>
        <w:tc>
          <w:tcPr>
            <w:tcW w:w="700" w:type="dxa"/>
            <w:shd w:val="clear" w:color="auto" w:fill="auto"/>
            <w:vAlign w:val="bottom"/>
            <w:hideMark/>
          </w:tcPr>
          <w:p w14:paraId="2FF7EE03"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 xml:space="preserve">From </w:t>
            </w:r>
            <w:r w:rsidRPr="00D837DF">
              <w:rPr>
                <w:rFonts w:ascii="Calibri" w:eastAsia="Times New Roman" w:hAnsi="Calibri"/>
                <w:color w:val="2E74B5" w:themeColor="accent1" w:themeShade="BF"/>
                <w:sz w:val="22"/>
                <w:szCs w:val="22"/>
              </w:rPr>
              <w:br/>
              <w:t>Year 1</w:t>
            </w:r>
          </w:p>
        </w:tc>
        <w:tc>
          <w:tcPr>
            <w:tcW w:w="686" w:type="dxa"/>
            <w:shd w:val="clear" w:color="auto" w:fill="auto"/>
            <w:vAlign w:val="bottom"/>
            <w:hideMark/>
          </w:tcPr>
          <w:p w14:paraId="5572B4EB"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 xml:space="preserve">From </w:t>
            </w:r>
            <w:r w:rsidRPr="00D837DF">
              <w:rPr>
                <w:rFonts w:ascii="Calibri" w:eastAsia="Times New Roman" w:hAnsi="Calibri"/>
                <w:color w:val="2E74B5" w:themeColor="accent1" w:themeShade="BF"/>
                <w:sz w:val="22"/>
                <w:szCs w:val="22"/>
              </w:rPr>
              <w:br/>
              <w:t>Year 2</w:t>
            </w:r>
          </w:p>
        </w:tc>
        <w:tc>
          <w:tcPr>
            <w:tcW w:w="683" w:type="dxa"/>
            <w:shd w:val="clear" w:color="auto" w:fill="auto"/>
            <w:noWrap/>
            <w:vAlign w:val="bottom"/>
            <w:hideMark/>
          </w:tcPr>
          <w:p w14:paraId="2C936E51" w14:textId="77777777" w:rsidR="00F90FD0" w:rsidRPr="00D837DF" w:rsidRDefault="00F90FD0" w:rsidP="00F90FD0">
            <w:pPr>
              <w:jc w:val="center"/>
              <w:rPr>
                <w:rFonts w:ascii="Calibri" w:eastAsia="Times New Roman" w:hAnsi="Calibri"/>
                <w:b/>
                <w:bCs/>
                <w:color w:val="2E74B5" w:themeColor="accent1" w:themeShade="BF"/>
                <w:sz w:val="22"/>
                <w:szCs w:val="22"/>
              </w:rPr>
            </w:pPr>
            <w:r w:rsidRPr="00D837DF">
              <w:rPr>
                <w:rFonts w:ascii="Calibri" w:eastAsia="Times New Roman" w:hAnsi="Calibri"/>
                <w:b/>
                <w:bCs/>
                <w:color w:val="2E74B5" w:themeColor="accent1" w:themeShade="BF"/>
                <w:sz w:val="22"/>
                <w:szCs w:val="22"/>
              </w:rPr>
              <w:t>Total</w:t>
            </w:r>
          </w:p>
        </w:tc>
        <w:tc>
          <w:tcPr>
            <w:tcW w:w="1240" w:type="dxa"/>
            <w:shd w:val="clear" w:color="auto" w:fill="auto"/>
            <w:vAlign w:val="bottom"/>
            <w:hideMark/>
          </w:tcPr>
          <w:p w14:paraId="2EFBF630" w14:textId="77777777" w:rsidR="00F90FD0" w:rsidRPr="00D837DF" w:rsidRDefault="00F90FD0" w:rsidP="00F90FD0">
            <w:pPr>
              <w:jc w:val="center"/>
              <w:rPr>
                <w:rFonts w:ascii="Calibri" w:eastAsia="Times New Roman" w:hAnsi="Calibri"/>
                <w:b/>
                <w:bCs/>
                <w:color w:val="000000"/>
                <w:sz w:val="22"/>
                <w:szCs w:val="22"/>
              </w:rPr>
            </w:pPr>
            <w:r>
              <w:rPr>
                <w:rFonts w:ascii="Calibri" w:eastAsia="Times New Roman" w:hAnsi="Calibri"/>
                <w:b/>
                <w:bCs/>
                <w:color w:val="000000"/>
                <w:sz w:val="22"/>
                <w:szCs w:val="22"/>
              </w:rPr>
              <w:t>Total</w:t>
            </w:r>
          </w:p>
        </w:tc>
        <w:tc>
          <w:tcPr>
            <w:tcW w:w="961" w:type="dxa"/>
            <w:shd w:val="clear" w:color="auto" w:fill="auto"/>
            <w:vAlign w:val="bottom"/>
            <w:hideMark/>
          </w:tcPr>
          <w:p w14:paraId="13206456"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Internal Transfer</w:t>
            </w:r>
          </w:p>
        </w:tc>
        <w:tc>
          <w:tcPr>
            <w:tcW w:w="986" w:type="dxa"/>
            <w:shd w:val="clear" w:color="auto" w:fill="auto"/>
            <w:vAlign w:val="bottom"/>
            <w:hideMark/>
          </w:tcPr>
          <w:p w14:paraId="5CB5E300"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 xml:space="preserve"> Would come to NTID w/o program</w:t>
            </w:r>
          </w:p>
        </w:tc>
        <w:tc>
          <w:tcPr>
            <w:tcW w:w="760" w:type="dxa"/>
            <w:shd w:val="clear" w:color="auto" w:fill="auto"/>
            <w:vAlign w:val="bottom"/>
            <w:hideMark/>
          </w:tcPr>
          <w:p w14:paraId="48D253D6"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NEW to NTID</w:t>
            </w:r>
          </w:p>
        </w:tc>
        <w:tc>
          <w:tcPr>
            <w:tcW w:w="760" w:type="dxa"/>
            <w:shd w:val="clear" w:color="auto" w:fill="auto"/>
            <w:noWrap/>
            <w:vAlign w:val="bottom"/>
            <w:hideMark/>
          </w:tcPr>
          <w:p w14:paraId="47E7149B" w14:textId="77777777" w:rsidR="00F90FD0" w:rsidRPr="00D837DF" w:rsidRDefault="00F90FD0" w:rsidP="00F90FD0">
            <w:pPr>
              <w:jc w:val="center"/>
              <w:rPr>
                <w:rFonts w:ascii="Calibri" w:eastAsia="Times New Roman" w:hAnsi="Calibri"/>
                <w:b/>
                <w:bCs/>
                <w:color w:val="C45911" w:themeColor="accent2" w:themeShade="BF"/>
                <w:sz w:val="22"/>
                <w:szCs w:val="22"/>
              </w:rPr>
            </w:pPr>
            <w:r w:rsidRPr="00D837DF">
              <w:rPr>
                <w:rFonts w:ascii="Calibri" w:eastAsia="Times New Roman" w:hAnsi="Calibri"/>
                <w:b/>
                <w:bCs/>
                <w:color w:val="C45911" w:themeColor="accent2" w:themeShade="BF"/>
                <w:sz w:val="22"/>
                <w:szCs w:val="22"/>
              </w:rPr>
              <w:t>Total</w:t>
            </w:r>
          </w:p>
        </w:tc>
        <w:tc>
          <w:tcPr>
            <w:tcW w:w="700" w:type="dxa"/>
            <w:shd w:val="clear" w:color="auto" w:fill="auto"/>
            <w:vAlign w:val="bottom"/>
            <w:hideMark/>
          </w:tcPr>
          <w:p w14:paraId="070E4C50"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 xml:space="preserve">From </w:t>
            </w:r>
            <w:r w:rsidRPr="00D837DF">
              <w:rPr>
                <w:rFonts w:ascii="Calibri" w:eastAsia="Times New Roman" w:hAnsi="Calibri"/>
                <w:color w:val="C45911" w:themeColor="accent2" w:themeShade="BF"/>
                <w:sz w:val="22"/>
                <w:szCs w:val="22"/>
              </w:rPr>
              <w:br/>
              <w:t>Year 2</w:t>
            </w:r>
          </w:p>
        </w:tc>
        <w:tc>
          <w:tcPr>
            <w:tcW w:w="700" w:type="dxa"/>
            <w:shd w:val="clear" w:color="auto" w:fill="auto"/>
            <w:vAlign w:val="bottom"/>
            <w:hideMark/>
          </w:tcPr>
          <w:p w14:paraId="4A924FE9"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 xml:space="preserve">From </w:t>
            </w:r>
            <w:r w:rsidRPr="00D837DF">
              <w:rPr>
                <w:rFonts w:ascii="Calibri" w:eastAsia="Times New Roman" w:hAnsi="Calibri"/>
                <w:color w:val="C45911" w:themeColor="accent2" w:themeShade="BF"/>
                <w:sz w:val="22"/>
                <w:szCs w:val="22"/>
              </w:rPr>
              <w:br/>
              <w:t>Year 3</w:t>
            </w:r>
          </w:p>
        </w:tc>
        <w:tc>
          <w:tcPr>
            <w:tcW w:w="683" w:type="dxa"/>
            <w:shd w:val="clear" w:color="auto" w:fill="auto"/>
            <w:noWrap/>
            <w:vAlign w:val="bottom"/>
            <w:hideMark/>
          </w:tcPr>
          <w:p w14:paraId="6A1075FC" w14:textId="77777777" w:rsidR="00F90FD0" w:rsidRPr="00D837DF" w:rsidRDefault="00F90FD0" w:rsidP="00F90FD0">
            <w:pPr>
              <w:jc w:val="center"/>
              <w:rPr>
                <w:rFonts w:ascii="Calibri" w:eastAsia="Times New Roman" w:hAnsi="Calibri"/>
                <w:b/>
                <w:bCs/>
                <w:sz w:val="22"/>
                <w:szCs w:val="22"/>
              </w:rPr>
            </w:pPr>
            <w:r w:rsidRPr="00D837DF">
              <w:rPr>
                <w:rFonts w:ascii="Calibri" w:eastAsia="Times New Roman" w:hAnsi="Calibri"/>
                <w:b/>
                <w:bCs/>
                <w:sz w:val="22"/>
                <w:szCs w:val="22"/>
              </w:rPr>
              <w:t>Total</w:t>
            </w:r>
          </w:p>
        </w:tc>
        <w:tc>
          <w:tcPr>
            <w:tcW w:w="1285" w:type="dxa"/>
            <w:shd w:val="clear" w:color="auto" w:fill="auto"/>
            <w:noWrap/>
            <w:vAlign w:val="bottom"/>
            <w:hideMark/>
          </w:tcPr>
          <w:p w14:paraId="148B244F" w14:textId="77777777" w:rsidR="00F90FD0" w:rsidRPr="00D837DF" w:rsidRDefault="00F90FD0" w:rsidP="00F90FD0">
            <w:pPr>
              <w:jc w:val="center"/>
              <w:rPr>
                <w:rFonts w:ascii="Calibri" w:eastAsia="Times New Roman" w:hAnsi="Calibri"/>
                <w:b/>
                <w:bCs/>
                <w:sz w:val="22"/>
                <w:szCs w:val="22"/>
              </w:rPr>
            </w:pPr>
            <w:r w:rsidRPr="00D837DF">
              <w:rPr>
                <w:rFonts w:ascii="Calibri" w:eastAsia="Times New Roman" w:hAnsi="Calibri"/>
                <w:b/>
                <w:bCs/>
                <w:sz w:val="22"/>
                <w:szCs w:val="22"/>
              </w:rPr>
              <w:t xml:space="preserve"> </w:t>
            </w:r>
          </w:p>
        </w:tc>
      </w:tr>
      <w:tr w:rsidR="00F90FD0" w:rsidRPr="00D837DF" w14:paraId="394BE450" w14:textId="77777777" w:rsidTr="00F90FD0">
        <w:trPr>
          <w:trHeight w:val="315"/>
        </w:trPr>
        <w:tc>
          <w:tcPr>
            <w:tcW w:w="961" w:type="dxa"/>
            <w:shd w:val="clear" w:color="auto" w:fill="auto"/>
            <w:noWrap/>
            <w:vAlign w:val="bottom"/>
            <w:hideMark/>
          </w:tcPr>
          <w:p w14:paraId="4F162CF7"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1</w:t>
            </w:r>
          </w:p>
        </w:tc>
        <w:tc>
          <w:tcPr>
            <w:tcW w:w="986" w:type="dxa"/>
            <w:shd w:val="clear" w:color="auto" w:fill="auto"/>
            <w:noWrap/>
            <w:vAlign w:val="bottom"/>
            <w:hideMark/>
          </w:tcPr>
          <w:p w14:paraId="20C7EB8E"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1</w:t>
            </w:r>
          </w:p>
        </w:tc>
        <w:tc>
          <w:tcPr>
            <w:tcW w:w="680" w:type="dxa"/>
            <w:shd w:val="clear" w:color="auto" w:fill="auto"/>
            <w:noWrap/>
            <w:vAlign w:val="bottom"/>
            <w:hideMark/>
          </w:tcPr>
          <w:p w14:paraId="30A468AD"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6</w:t>
            </w:r>
          </w:p>
        </w:tc>
        <w:tc>
          <w:tcPr>
            <w:tcW w:w="745" w:type="dxa"/>
            <w:shd w:val="clear" w:color="auto" w:fill="auto"/>
            <w:noWrap/>
            <w:vAlign w:val="bottom"/>
            <w:hideMark/>
          </w:tcPr>
          <w:p w14:paraId="2E507044" w14:textId="77777777" w:rsidR="00F90FD0" w:rsidRPr="00D837DF" w:rsidRDefault="00F90FD0" w:rsidP="00F90FD0">
            <w:pPr>
              <w:jc w:val="center"/>
              <w:rPr>
                <w:rFonts w:ascii="Calibri" w:eastAsia="Times New Roman" w:hAnsi="Calibri"/>
                <w:b/>
                <w:bCs/>
                <w:color w:val="2E74B5" w:themeColor="accent1" w:themeShade="BF"/>
                <w:sz w:val="22"/>
                <w:szCs w:val="22"/>
              </w:rPr>
            </w:pPr>
            <w:r>
              <w:rPr>
                <w:rFonts w:ascii="Calibri" w:eastAsia="Times New Roman" w:hAnsi="Calibri"/>
                <w:b/>
                <w:bCs/>
                <w:color w:val="2E74B5" w:themeColor="accent1" w:themeShade="BF"/>
                <w:sz w:val="22"/>
                <w:szCs w:val="22"/>
              </w:rPr>
              <w:t>8</w:t>
            </w:r>
          </w:p>
        </w:tc>
        <w:tc>
          <w:tcPr>
            <w:tcW w:w="700" w:type="dxa"/>
            <w:shd w:val="clear" w:color="auto" w:fill="auto"/>
            <w:noWrap/>
            <w:vAlign w:val="bottom"/>
            <w:hideMark/>
          </w:tcPr>
          <w:p w14:paraId="5EEFBC1D"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6</w:t>
            </w:r>
          </w:p>
        </w:tc>
        <w:tc>
          <w:tcPr>
            <w:tcW w:w="686" w:type="dxa"/>
            <w:shd w:val="clear" w:color="auto" w:fill="auto"/>
            <w:noWrap/>
            <w:vAlign w:val="bottom"/>
            <w:hideMark/>
          </w:tcPr>
          <w:p w14:paraId="2E109574"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5</w:t>
            </w:r>
          </w:p>
        </w:tc>
        <w:tc>
          <w:tcPr>
            <w:tcW w:w="683" w:type="dxa"/>
            <w:shd w:val="clear" w:color="auto" w:fill="auto"/>
            <w:noWrap/>
            <w:vAlign w:val="bottom"/>
            <w:hideMark/>
          </w:tcPr>
          <w:p w14:paraId="4D4252B7" w14:textId="77777777" w:rsidR="00F90FD0" w:rsidRPr="00D837DF" w:rsidRDefault="00F90FD0" w:rsidP="00F90FD0">
            <w:pPr>
              <w:jc w:val="center"/>
              <w:rPr>
                <w:rFonts w:ascii="Calibri" w:eastAsia="Times New Roman" w:hAnsi="Calibri"/>
                <w:b/>
                <w:bCs/>
                <w:color w:val="2E74B5" w:themeColor="accent1" w:themeShade="BF"/>
                <w:sz w:val="22"/>
                <w:szCs w:val="22"/>
              </w:rPr>
            </w:pPr>
            <w:r>
              <w:rPr>
                <w:rFonts w:ascii="Calibri" w:eastAsia="Times New Roman" w:hAnsi="Calibri"/>
                <w:b/>
                <w:bCs/>
                <w:color w:val="2E74B5" w:themeColor="accent1" w:themeShade="BF"/>
                <w:sz w:val="22"/>
                <w:szCs w:val="22"/>
              </w:rPr>
              <w:t>11</w:t>
            </w:r>
          </w:p>
        </w:tc>
        <w:tc>
          <w:tcPr>
            <w:tcW w:w="1240" w:type="dxa"/>
            <w:shd w:val="clear" w:color="auto" w:fill="auto"/>
            <w:noWrap/>
            <w:vAlign w:val="bottom"/>
            <w:hideMark/>
          </w:tcPr>
          <w:p w14:paraId="046C0C94" w14:textId="77777777" w:rsidR="00F90FD0" w:rsidRPr="00D837DF" w:rsidRDefault="00F90FD0" w:rsidP="00F90FD0">
            <w:pPr>
              <w:jc w:val="center"/>
              <w:rPr>
                <w:rFonts w:ascii="Calibri" w:eastAsia="Times New Roman" w:hAnsi="Calibri"/>
                <w:b/>
                <w:bCs/>
                <w:color w:val="000000"/>
                <w:sz w:val="22"/>
                <w:szCs w:val="22"/>
              </w:rPr>
            </w:pPr>
            <w:r>
              <w:rPr>
                <w:rFonts w:ascii="Calibri" w:eastAsia="Times New Roman" w:hAnsi="Calibri"/>
                <w:b/>
                <w:bCs/>
                <w:color w:val="000000"/>
                <w:sz w:val="22"/>
                <w:szCs w:val="22"/>
              </w:rPr>
              <w:t>19</w:t>
            </w:r>
          </w:p>
        </w:tc>
        <w:tc>
          <w:tcPr>
            <w:tcW w:w="961" w:type="dxa"/>
            <w:shd w:val="clear" w:color="auto" w:fill="auto"/>
            <w:noWrap/>
            <w:vAlign w:val="bottom"/>
            <w:hideMark/>
          </w:tcPr>
          <w:p w14:paraId="402B31ED"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1</w:t>
            </w:r>
          </w:p>
        </w:tc>
        <w:tc>
          <w:tcPr>
            <w:tcW w:w="986" w:type="dxa"/>
            <w:shd w:val="clear" w:color="auto" w:fill="auto"/>
            <w:noWrap/>
            <w:vAlign w:val="bottom"/>
            <w:hideMark/>
          </w:tcPr>
          <w:p w14:paraId="542738B9"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1</w:t>
            </w:r>
          </w:p>
        </w:tc>
        <w:tc>
          <w:tcPr>
            <w:tcW w:w="760" w:type="dxa"/>
            <w:shd w:val="clear" w:color="auto" w:fill="auto"/>
            <w:noWrap/>
            <w:vAlign w:val="bottom"/>
            <w:hideMark/>
          </w:tcPr>
          <w:p w14:paraId="7FB7F30F"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7</w:t>
            </w:r>
          </w:p>
        </w:tc>
        <w:tc>
          <w:tcPr>
            <w:tcW w:w="760" w:type="dxa"/>
            <w:shd w:val="clear" w:color="auto" w:fill="auto"/>
            <w:noWrap/>
            <w:vAlign w:val="bottom"/>
            <w:hideMark/>
          </w:tcPr>
          <w:p w14:paraId="4EF48F31" w14:textId="77777777" w:rsidR="00F90FD0" w:rsidRPr="00D837DF" w:rsidRDefault="00F90FD0" w:rsidP="00F90FD0">
            <w:pPr>
              <w:jc w:val="center"/>
              <w:rPr>
                <w:rFonts w:ascii="Calibri" w:eastAsia="Times New Roman" w:hAnsi="Calibri"/>
                <w:b/>
                <w:bCs/>
                <w:color w:val="C45911" w:themeColor="accent2" w:themeShade="BF"/>
                <w:sz w:val="22"/>
                <w:szCs w:val="22"/>
              </w:rPr>
            </w:pPr>
            <w:r>
              <w:rPr>
                <w:rFonts w:ascii="Calibri" w:eastAsia="Times New Roman" w:hAnsi="Calibri"/>
                <w:b/>
                <w:bCs/>
                <w:color w:val="C45911" w:themeColor="accent2" w:themeShade="BF"/>
                <w:sz w:val="22"/>
                <w:szCs w:val="22"/>
              </w:rPr>
              <w:t>9</w:t>
            </w:r>
          </w:p>
        </w:tc>
        <w:tc>
          <w:tcPr>
            <w:tcW w:w="700" w:type="dxa"/>
            <w:shd w:val="clear" w:color="auto" w:fill="auto"/>
            <w:noWrap/>
            <w:vAlign w:val="bottom"/>
            <w:hideMark/>
          </w:tcPr>
          <w:p w14:paraId="172637AD"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5</w:t>
            </w:r>
          </w:p>
        </w:tc>
        <w:tc>
          <w:tcPr>
            <w:tcW w:w="700" w:type="dxa"/>
            <w:shd w:val="clear" w:color="auto" w:fill="auto"/>
            <w:noWrap/>
            <w:vAlign w:val="bottom"/>
            <w:hideMark/>
          </w:tcPr>
          <w:p w14:paraId="30329867"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8</w:t>
            </w:r>
          </w:p>
        </w:tc>
        <w:tc>
          <w:tcPr>
            <w:tcW w:w="683" w:type="dxa"/>
            <w:shd w:val="clear" w:color="auto" w:fill="auto"/>
            <w:noWrap/>
            <w:vAlign w:val="bottom"/>
            <w:hideMark/>
          </w:tcPr>
          <w:p w14:paraId="200D75DF" w14:textId="77777777" w:rsidR="00F90FD0" w:rsidRPr="00D837DF" w:rsidRDefault="00F90FD0" w:rsidP="00F90FD0">
            <w:pPr>
              <w:jc w:val="center"/>
              <w:rPr>
                <w:rFonts w:ascii="Calibri" w:eastAsia="Times New Roman" w:hAnsi="Calibri"/>
                <w:b/>
                <w:bCs/>
                <w:color w:val="000000"/>
                <w:sz w:val="22"/>
                <w:szCs w:val="22"/>
              </w:rPr>
            </w:pPr>
            <w:r w:rsidRPr="00D837DF">
              <w:rPr>
                <w:rFonts w:ascii="Calibri" w:eastAsia="Times New Roman" w:hAnsi="Calibri"/>
                <w:b/>
                <w:bCs/>
                <w:color w:val="000000"/>
                <w:sz w:val="22"/>
                <w:szCs w:val="22"/>
              </w:rPr>
              <w:t>1</w:t>
            </w:r>
            <w:r>
              <w:rPr>
                <w:rFonts w:ascii="Calibri" w:eastAsia="Times New Roman" w:hAnsi="Calibri"/>
                <w:b/>
                <w:bCs/>
                <w:color w:val="000000"/>
                <w:sz w:val="22"/>
                <w:szCs w:val="22"/>
              </w:rPr>
              <w:t>3</w:t>
            </w:r>
          </w:p>
        </w:tc>
        <w:tc>
          <w:tcPr>
            <w:tcW w:w="1285" w:type="dxa"/>
            <w:shd w:val="clear" w:color="auto" w:fill="auto"/>
            <w:noWrap/>
            <w:vAlign w:val="bottom"/>
            <w:hideMark/>
          </w:tcPr>
          <w:p w14:paraId="3F6FA64E" w14:textId="77777777" w:rsidR="00F90FD0" w:rsidRPr="00D837DF" w:rsidRDefault="00F90FD0" w:rsidP="00F90FD0">
            <w:pPr>
              <w:jc w:val="center"/>
              <w:rPr>
                <w:rFonts w:ascii="Calibri" w:eastAsia="Times New Roman" w:hAnsi="Calibri"/>
                <w:b/>
                <w:bCs/>
                <w:color w:val="000000"/>
                <w:sz w:val="22"/>
                <w:szCs w:val="22"/>
              </w:rPr>
            </w:pPr>
            <w:r w:rsidRPr="00D837DF">
              <w:rPr>
                <w:rFonts w:ascii="Calibri" w:eastAsia="Times New Roman" w:hAnsi="Calibri"/>
                <w:b/>
                <w:bCs/>
                <w:color w:val="000000"/>
                <w:sz w:val="22"/>
                <w:szCs w:val="22"/>
              </w:rPr>
              <w:t>2</w:t>
            </w:r>
            <w:r>
              <w:rPr>
                <w:rFonts w:ascii="Calibri" w:eastAsia="Times New Roman" w:hAnsi="Calibri"/>
                <w:b/>
                <w:bCs/>
                <w:color w:val="000000"/>
                <w:sz w:val="22"/>
                <w:szCs w:val="22"/>
              </w:rPr>
              <w:t>2</w:t>
            </w:r>
          </w:p>
        </w:tc>
      </w:tr>
      <w:tr w:rsidR="00F90FD0" w:rsidRPr="00D837DF" w14:paraId="2A0856BA" w14:textId="77777777" w:rsidTr="00F90FD0">
        <w:trPr>
          <w:trHeight w:val="319"/>
        </w:trPr>
        <w:tc>
          <w:tcPr>
            <w:tcW w:w="961" w:type="dxa"/>
            <w:shd w:val="clear" w:color="auto" w:fill="auto"/>
            <w:noWrap/>
            <w:vAlign w:val="bottom"/>
            <w:hideMark/>
          </w:tcPr>
          <w:p w14:paraId="2F82B312"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1</w:t>
            </w:r>
          </w:p>
        </w:tc>
        <w:tc>
          <w:tcPr>
            <w:tcW w:w="986" w:type="dxa"/>
            <w:shd w:val="clear" w:color="auto" w:fill="auto"/>
            <w:noWrap/>
            <w:vAlign w:val="bottom"/>
            <w:hideMark/>
          </w:tcPr>
          <w:p w14:paraId="441C837E" w14:textId="77777777" w:rsidR="00F90FD0" w:rsidRPr="00D837DF" w:rsidRDefault="00F90FD0" w:rsidP="00F90FD0">
            <w:pPr>
              <w:jc w:val="center"/>
              <w:rPr>
                <w:rFonts w:ascii="Calibri" w:eastAsia="Times New Roman" w:hAnsi="Calibri"/>
                <w:color w:val="2E74B5" w:themeColor="accent1" w:themeShade="BF"/>
                <w:sz w:val="22"/>
                <w:szCs w:val="22"/>
              </w:rPr>
            </w:pPr>
            <w:r w:rsidRPr="00D837DF">
              <w:rPr>
                <w:rFonts w:ascii="Calibri" w:eastAsia="Times New Roman" w:hAnsi="Calibri"/>
                <w:color w:val="2E74B5" w:themeColor="accent1" w:themeShade="BF"/>
                <w:sz w:val="22"/>
                <w:szCs w:val="22"/>
              </w:rPr>
              <w:t>1</w:t>
            </w:r>
          </w:p>
        </w:tc>
        <w:tc>
          <w:tcPr>
            <w:tcW w:w="680" w:type="dxa"/>
            <w:shd w:val="clear" w:color="auto" w:fill="auto"/>
            <w:noWrap/>
            <w:vAlign w:val="bottom"/>
            <w:hideMark/>
          </w:tcPr>
          <w:p w14:paraId="14ED5D55"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6</w:t>
            </w:r>
          </w:p>
        </w:tc>
        <w:tc>
          <w:tcPr>
            <w:tcW w:w="745" w:type="dxa"/>
            <w:shd w:val="clear" w:color="auto" w:fill="auto"/>
            <w:noWrap/>
            <w:vAlign w:val="bottom"/>
            <w:hideMark/>
          </w:tcPr>
          <w:p w14:paraId="71223036" w14:textId="77777777" w:rsidR="00F90FD0" w:rsidRPr="00D837DF" w:rsidRDefault="00F90FD0" w:rsidP="00F90FD0">
            <w:pPr>
              <w:jc w:val="center"/>
              <w:rPr>
                <w:rFonts w:ascii="Calibri" w:eastAsia="Times New Roman" w:hAnsi="Calibri"/>
                <w:b/>
                <w:bCs/>
                <w:color w:val="2E74B5" w:themeColor="accent1" w:themeShade="BF"/>
                <w:sz w:val="22"/>
                <w:szCs w:val="22"/>
              </w:rPr>
            </w:pPr>
            <w:r>
              <w:rPr>
                <w:rFonts w:ascii="Calibri" w:eastAsia="Times New Roman" w:hAnsi="Calibri"/>
                <w:b/>
                <w:bCs/>
                <w:color w:val="2E74B5" w:themeColor="accent1" w:themeShade="BF"/>
                <w:sz w:val="22"/>
                <w:szCs w:val="22"/>
              </w:rPr>
              <w:t>8</w:t>
            </w:r>
          </w:p>
        </w:tc>
        <w:tc>
          <w:tcPr>
            <w:tcW w:w="700" w:type="dxa"/>
            <w:shd w:val="clear" w:color="auto" w:fill="auto"/>
            <w:noWrap/>
            <w:vAlign w:val="bottom"/>
            <w:hideMark/>
          </w:tcPr>
          <w:p w14:paraId="47A07982"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0</w:t>
            </w:r>
          </w:p>
        </w:tc>
        <w:tc>
          <w:tcPr>
            <w:tcW w:w="686" w:type="dxa"/>
            <w:shd w:val="clear" w:color="auto" w:fill="auto"/>
            <w:noWrap/>
            <w:vAlign w:val="bottom"/>
            <w:hideMark/>
          </w:tcPr>
          <w:p w14:paraId="72624DA9" w14:textId="77777777" w:rsidR="00F90FD0" w:rsidRPr="00D837DF" w:rsidRDefault="00F90FD0" w:rsidP="00F90FD0">
            <w:pPr>
              <w:jc w:val="center"/>
              <w:rPr>
                <w:rFonts w:ascii="Calibri" w:eastAsia="Times New Roman" w:hAnsi="Calibri"/>
                <w:color w:val="2E74B5" w:themeColor="accent1" w:themeShade="BF"/>
                <w:sz w:val="22"/>
                <w:szCs w:val="22"/>
              </w:rPr>
            </w:pPr>
            <w:r>
              <w:rPr>
                <w:rFonts w:ascii="Calibri" w:eastAsia="Times New Roman" w:hAnsi="Calibri"/>
                <w:color w:val="2E74B5" w:themeColor="accent1" w:themeShade="BF"/>
                <w:sz w:val="22"/>
                <w:szCs w:val="22"/>
              </w:rPr>
              <w:t>6</w:t>
            </w:r>
          </w:p>
        </w:tc>
        <w:tc>
          <w:tcPr>
            <w:tcW w:w="683" w:type="dxa"/>
            <w:shd w:val="clear" w:color="auto" w:fill="auto"/>
            <w:noWrap/>
            <w:vAlign w:val="bottom"/>
            <w:hideMark/>
          </w:tcPr>
          <w:p w14:paraId="404A39A4" w14:textId="77777777" w:rsidR="00F90FD0" w:rsidRPr="00D837DF" w:rsidRDefault="00F90FD0" w:rsidP="00F90FD0">
            <w:pPr>
              <w:jc w:val="center"/>
              <w:rPr>
                <w:rFonts w:ascii="Calibri" w:eastAsia="Times New Roman" w:hAnsi="Calibri"/>
                <w:b/>
                <w:bCs/>
                <w:color w:val="2E74B5" w:themeColor="accent1" w:themeShade="BF"/>
                <w:sz w:val="22"/>
                <w:szCs w:val="22"/>
              </w:rPr>
            </w:pPr>
            <w:r>
              <w:rPr>
                <w:rFonts w:ascii="Calibri" w:eastAsia="Times New Roman" w:hAnsi="Calibri"/>
                <w:b/>
                <w:bCs/>
                <w:color w:val="2E74B5" w:themeColor="accent1" w:themeShade="BF"/>
                <w:sz w:val="22"/>
                <w:szCs w:val="22"/>
              </w:rPr>
              <w:t>6</w:t>
            </w:r>
          </w:p>
        </w:tc>
        <w:tc>
          <w:tcPr>
            <w:tcW w:w="1240" w:type="dxa"/>
            <w:shd w:val="clear" w:color="auto" w:fill="auto"/>
            <w:noWrap/>
            <w:vAlign w:val="bottom"/>
            <w:hideMark/>
          </w:tcPr>
          <w:p w14:paraId="7A921C1F" w14:textId="77777777" w:rsidR="00F90FD0" w:rsidRPr="00D837DF" w:rsidRDefault="00F90FD0" w:rsidP="00F90FD0">
            <w:pPr>
              <w:jc w:val="center"/>
              <w:rPr>
                <w:rFonts w:ascii="Calibri" w:eastAsia="Times New Roman" w:hAnsi="Calibri"/>
                <w:b/>
                <w:bCs/>
                <w:color w:val="000000"/>
                <w:sz w:val="22"/>
                <w:szCs w:val="22"/>
              </w:rPr>
            </w:pPr>
            <w:r w:rsidRPr="00D837DF">
              <w:rPr>
                <w:rFonts w:ascii="Calibri" w:eastAsia="Times New Roman" w:hAnsi="Calibri"/>
                <w:b/>
                <w:bCs/>
                <w:color w:val="000000"/>
                <w:sz w:val="22"/>
                <w:szCs w:val="22"/>
              </w:rPr>
              <w:t>1</w:t>
            </w:r>
            <w:r>
              <w:rPr>
                <w:rFonts w:ascii="Calibri" w:eastAsia="Times New Roman" w:hAnsi="Calibri"/>
                <w:b/>
                <w:bCs/>
                <w:color w:val="000000"/>
                <w:sz w:val="22"/>
                <w:szCs w:val="22"/>
              </w:rPr>
              <w:t>4</w:t>
            </w:r>
          </w:p>
        </w:tc>
        <w:tc>
          <w:tcPr>
            <w:tcW w:w="961" w:type="dxa"/>
            <w:shd w:val="clear" w:color="auto" w:fill="auto"/>
            <w:noWrap/>
            <w:vAlign w:val="bottom"/>
            <w:hideMark/>
          </w:tcPr>
          <w:p w14:paraId="524DBF68"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1</w:t>
            </w:r>
          </w:p>
        </w:tc>
        <w:tc>
          <w:tcPr>
            <w:tcW w:w="986" w:type="dxa"/>
            <w:shd w:val="clear" w:color="auto" w:fill="auto"/>
            <w:noWrap/>
            <w:vAlign w:val="bottom"/>
            <w:hideMark/>
          </w:tcPr>
          <w:p w14:paraId="0BB4D339" w14:textId="77777777" w:rsidR="00F90FD0" w:rsidRPr="00D837DF" w:rsidRDefault="00F90FD0" w:rsidP="00F90FD0">
            <w:pPr>
              <w:jc w:val="center"/>
              <w:rPr>
                <w:rFonts w:ascii="Calibri" w:eastAsia="Times New Roman" w:hAnsi="Calibri"/>
                <w:color w:val="C45911" w:themeColor="accent2" w:themeShade="BF"/>
                <w:sz w:val="22"/>
                <w:szCs w:val="22"/>
              </w:rPr>
            </w:pPr>
            <w:r w:rsidRPr="00D837DF">
              <w:rPr>
                <w:rFonts w:ascii="Calibri" w:eastAsia="Times New Roman" w:hAnsi="Calibri"/>
                <w:color w:val="C45911" w:themeColor="accent2" w:themeShade="BF"/>
                <w:sz w:val="22"/>
                <w:szCs w:val="22"/>
              </w:rPr>
              <w:t>1</w:t>
            </w:r>
          </w:p>
        </w:tc>
        <w:tc>
          <w:tcPr>
            <w:tcW w:w="760" w:type="dxa"/>
            <w:shd w:val="clear" w:color="auto" w:fill="auto"/>
            <w:noWrap/>
            <w:vAlign w:val="bottom"/>
            <w:hideMark/>
          </w:tcPr>
          <w:p w14:paraId="3317EE66"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7</w:t>
            </w:r>
          </w:p>
        </w:tc>
        <w:tc>
          <w:tcPr>
            <w:tcW w:w="760" w:type="dxa"/>
            <w:shd w:val="clear" w:color="auto" w:fill="auto"/>
            <w:noWrap/>
            <w:vAlign w:val="bottom"/>
            <w:hideMark/>
          </w:tcPr>
          <w:p w14:paraId="38219DD7" w14:textId="77777777" w:rsidR="00F90FD0" w:rsidRPr="00D837DF" w:rsidRDefault="00F90FD0" w:rsidP="00F90FD0">
            <w:pPr>
              <w:jc w:val="center"/>
              <w:rPr>
                <w:rFonts w:ascii="Calibri" w:eastAsia="Times New Roman" w:hAnsi="Calibri"/>
                <w:b/>
                <w:bCs/>
                <w:color w:val="C45911" w:themeColor="accent2" w:themeShade="BF"/>
                <w:sz w:val="22"/>
                <w:szCs w:val="22"/>
              </w:rPr>
            </w:pPr>
            <w:r>
              <w:rPr>
                <w:rFonts w:ascii="Calibri" w:eastAsia="Times New Roman" w:hAnsi="Calibri"/>
                <w:b/>
                <w:bCs/>
                <w:color w:val="C45911" w:themeColor="accent2" w:themeShade="BF"/>
                <w:sz w:val="22"/>
                <w:szCs w:val="22"/>
              </w:rPr>
              <w:t>9</w:t>
            </w:r>
          </w:p>
        </w:tc>
        <w:tc>
          <w:tcPr>
            <w:tcW w:w="700" w:type="dxa"/>
            <w:shd w:val="clear" w:color="auto" w:fill="auto"/>
            <w:noWrap/>
            <w:vAlign w:val="bottom"/>
            <w:hideMark/>
          </w:tcPr>
          <w:p w14:paraId="7CB11253"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0</w:t>
            </w:r>
          </w:p>
        </w:tc>
        <w:tc>
          <w:tcPr>
            <w:tcW w:w="700" w:type="dxa"/>
            <w:shd w:val="clear" w:color="auto" w:fill="auto"/>
            <w:noWrap/>
            <w:vAlign w:val="bottom"/>
            <w:hideMark/>
          </w:tcPr>
          <w:p w14:paraId="3018F676" w14:textId="77777777" w:rsidR="00F90FD0" w:rsidRPr="00D837DF" w:rsidRDefault="00F90FD0" w:rsidP="00F90FD0">
            <w:pPr>
              <w:jc w:val="center"/>
              <w:rPr>
                <w:rFonts w:ascii="Calibri" w:eastAsia="Times New Roman" w:hAnsi="Calibri"/>
                <w:color w:val="C45911" w:themeColor="accent2" w:themeShade="BF"/>
                <w:sz w:val="22"/>
                <w:szCs w:val="22"/>
              </w:rPr>
            </w:pPr>
            <w:r>
              <w:rPr>
                <w:rFonts w:ascii="Calibri" w:eastAsia="Times New Roman" w:hAnsi="Calibri"/>
                <w:color w:val="C45911" w:themeColor="accent2" w:themeShade="BF"/>
                <w:sz w:val="22"/>
                <w:szCs w:val="22"/>
              </w:rPr>
              <w:t>7</w:t>
            </w:r>
          </w:p>
        </w:tc>
        <w:tc>
          <w:tcPr>
            <w:tcW w:w="683" w:type="dxa"/>
            <w:shd w:val="clear" w:color="auto" w:fill="auto"/>
            <w:noWrap/>
            <w:vAlign w:val="bottom"/>
            <w:hideMark/>
          </w:tcPr>
          <w:p w14:paraId="48B3CD88" w14:textId="77777777" w:rsidR="00F90FD0" w:rsidRPr="00D837DF" w:rsidRDefault="00F90FD0" w:rsidP="00F90FD0">
            <w:pPr>
              <w:jc w:val="center"/>
              <w:rPr>
                <w:rFonts w:ascii="Calibri" w:eastAsia="Times New Roman" w:hAnsi="Calibri"/>
                <w:b/>
                <w:bCs/>
                <w:color w:val="000000"/>
                <w:sz w:val="22"/>
                <w:szCs w:val="22"/>
              </w:rPr>
            </w:pPr>
            <w:r>
              <w:rPr>
                <w:rFonts w:ascii="Calibri" w:eastAsia="Times New Roman" w:hAnsi="Calibri"/>
                <w:b/>
                <w:bCs/>
                <w:color w:val="000000"/>
                <w:sz w:val="22"/>
                <w:szCs w:val="22"/>
              </w:rPr>
              <w:t>7</w:t>
            </w:r>
          </w:p>
        </w:tc>
        <w:tc>
          <w:tcPr>
            <w:tcW w:w="1285" w:type="dxa"/>
            <w:shd w:val="clear" w:color="auto" w:fill="auto"/>
            <w:noWrap/>
            <w:vAlign w:val="bottom"/>
            <w:hideMark/>
          </w:tcPr>
          <w:p w14:paraId="34E0AAE1" w14:textId="77777777" w:rsidR="00F90FD0" w:rsidRPr="00D837DF" w:rsidRDefault="00F90FD0" w:rsidP="00F90FD0">
            <w:pPr>
              <w:jc w:val="center"/>
              <w:rPr>
                <w:rFonts w:ascii="Calibri" w:eastAsia="Times New Roman" w:hAnsi="Calibri"/>
                <w:b/>
                <w:bCs/>
                <w:color w:val="000000"/>
                <w:sz w:val="22"/>
                <w:szCs w:val="22"/>
              </w:rPr>
            </w:pPr>
            <w:r w:rsidRPr="00D837DF">
              <w:rPr>
                <w:rFonts w:ascii="Calibri" w:eastAsia="Times New Roman" w:hAnsi="Calibri"/>
                <w:b/>
                <w:bCs/>
                <w:color w:val="000000"/>
                <w:sz w:val="22"/>
                <w:szCs w:val="22"/>
              </w:rPr>
              <w:t>1</w:t>
            </w:r>
            <w:r>
              <w:rPr>
                <w:rFonts w:ascii="Calibri" w:eastAsia="Times New Roman" w:hAnsi="Calibri"/>
                <w:b/>
                <w:bCs/>
                <w:color w:val="000000"/>
                <w:sz w:val="22"/>
                <w:szCs w:val="22"/>
              </w:rPr>
              <w:t>6</w:t>
            </w:r>
          </w:p>
        </w:tc>
      </w:tr>
    </w:tbl>
    <w:tbl>
      <w:tblPr>
        <w:tblpPr w:leftFromText="180" w:rightFromText="180" w:vertAnchor="text" w:horzAnchor="margin" w:tblpXSpec="center" w:tblpY="6339"/>
        <w:tblW w:w="6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86"/>
        <w:gridCol w:w="840"/>
        <w:gridCol w:w="683"/>
        <w:gridCol w:w="686"/>
        <w:gridCol w:w="740"/>
        <w:gridCol w:w="683"/>
        <w:gridCol w:w="1308"/>
      </w:tblGrid>
      <w:tr w:rsidR="00F90FD0" w:rsidRPr="007F7069" w14:paraId="530BCF7C" w14:textId="77777777" w:rsidTr="00F90FD0">
        <w:trPr>
          <w:trHeight w:val="375"/>
        </w:trPr>
        <w:tc>
          <w:tcPr>
            <w:tcW w:w="6887" w:type="dxa"/>
            <w:gridSpan w:val="8"/>
            <w:shd w:val="clear" w:color="auto" w:fill="auto"/>
            <w:noWrap/>
            <w:vAlign w:val="bottom"/>
            <w:hideMark/>
          </w:tcPr>
          <w:p w14:paraId="1CF3E102" w14:textId="77777777" w:rsidR="00F90FD0" w:rsidRPr="007F7069" w:rsidRDefault="00F90FD0" w:rsidP="00F90FD0">
            <w:pPr>
              <w:jc w:val="center"/>
              <w:rPr>
                <w:rFonts w:ascii="Calibri" w:eastAsia="Times New Roman" w:hAnsi="Calibri" w:cs="Times New Roman"/>
                <w:b/>
                <w:bCs/>
                <w:sz w:val="28"/>
                <w:szCs w:val="28"/>
                <w:lang w:eastAsia="en-US"/>
              </w:rPr>
            </w:pPr>
            <w:r w:rsidRPr="007F7069">
              <w:rPr>
                <w:rFonts w:ascii="Calibri" w:eastAsia="Times New Roman" w:hAnsi="Calibri" w:cs="Times New Roman"/>
                <w:b/>
                <w:bCs/>
                <w:color w:val="7030A0"/>
                <w:sz w:val="28"/>
                <w:szCs w:val="28"/>
                <w:lang w:eastAsia="en-US"/>
              </w:rPr>
              <w:t>Year 5</w:t>
            </w:r>
          </w:p>
        </w:tc>
      </w:tr>
      <w:tr w:rsidR="00F90FD0" w:rsidRPr="007F7069" w14:paraId="17D6F830" w14:textId="77777777" w:rsidTr="00F90FD0">
        <w:trPr>
          <w:trHeight w:val="500"/>
        </w:trPr>
        <w:tc>
          <w:tcPr>
            <w:tcW w:w="3470" w:type="dxa"/>
            <w:gridSpan w:val="4"/>
            <w:shd w:val="clear" w:color="auto" w:fill="auto"/>
            <w:vAlign w:val="bottom"/>
            <w:hideMark/>
          </w:tcPr>
          <w:p w14:paraId="0723A603"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Enroll 10 Students</w:t>
            </w:r>
          </w:p>
        </w:tc>
        <w:tc>
          <w:tcPr>
            <w:tcW w:w="2109" w:type="dxa"/>
            <w:gridSpan w:val="3"/>
            <w:shd w:val="clear" w:color="auto" w:fill="auto"/>
            <w:vAlign w:val="bottom"/>
            <w:hideMark/>
          </w:tcPr>
          <w:p w14:paraId="7DA46C05"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Persisting</w:t>
            </w:r>
          </w:p>
        </w:tc>
        <w:tc>
          <w:tcPr>
            <w:tcW w:w="1308" w:type="dxa"/>
            <w:shd w:val="clear" w:color="auto" w:fill="auto"/>
            <w:vAlign w:val="bottom"/>
            <w:hideMark/>
          </w:tcPr>
          <w:p w14:paraId="27D0FF18" w14:textId="77777777" w:rsidR="00F90FD0" w:rsidRPr="007F7069" w:rsidRDefault="00F90FD0" w:rsidP="00F90FD0">
            <w:pPr>
              <w:jc w:val="center"/>
              <w:rPr>
                <w:rFonts w:ascii="Calibri" w:eastAsia="Times New Roman" w:hAnsi="Calibri" w:cs="Times New Roman"/>
                <w:b/>
                <w:bCs/>
                <w:sz w:val="22"/>
                <w:szCs w:val="22"/>
                <w:lang w:eastAsia="en-US"/>
              </w:rPr>
            </w:pPr>
            <w:r w:rsidRPr="007F7069">
              <w:rPr>
                <w:rFonts w:ascii="Calibri" w:eastAsia="Times New Roman" w:hAnsi="Calibri" w:cs="Times New Roman"/>
                <w:b/>
                <w:bCs/>
                <w:sz w:val="22"/>
                <w:szCs w:val="22"/>
                <w:lang w:eastAsia="en-US"/>
              </w:rPr>
              <w:t>Total per Semester</w:t>
            </w:r>
          </w:p>
        </w:tc>
      </w:tr>
      <w:tr w:rsidR="00F90FD0" w:rsidRPr="007F7069" w14:paraId="7C0DF2F9" w14:textId="77777777" w:rsidTr="00F90FD0">
        <w:trPr>
          <w:trHeight w:val="1440"/>
        </w:trPr>
        <w:tc>
          <w:tcPr>
            <w:tcW w:w="961" w:type="dxa"/>
            <w:shd w:val="clear" w:color="auto" w:fill="auto"/>
            <w:vAlign w:val="bottom"/>
            <w:hideMark/>
          </w:tcPr>
          <w:p w14:paraId="2CFC1351"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Internal Transfer</w:t>
            </w:r>
          </w:p>
        </w:tc>
        <w:tc>
          <w:tcPr>
            <w:tcW w:w="986" w:type="dxa"/>
            <w:shd w:val="clear" w:color="auto" w:fill="auto"/>
            <w:vAlign w:val="bottom"/>
            <w:hideMark/>
          </w:tcPr>
          <w:p w14:paraId="5D7DE802"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 xml:space="preserve"> Would come to NTID w/o program</w:t>
            </w:r>
          </w:p>
        </w:tc>
        <w:tc>
          <w:tcPr>
            <w:tcW w:w="840" w:type="dxa"/>
            <w:shd w:val="clear" w:color="auto" w:fill="auto"/>
            <w:vAlign w:val="bottom"/>
            <w:hideMark/>
          </w:tcPr>
          <w:p w14:paraId="423A8FE9"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 xml:space="preserve"> NEW to NTID</w:t>
            </w:r>
          </w:p>
        </w:tc>
        <w:tc>
          <w:tcPr>
            <w:tcW w:w="683" w:type="dxa"/>
            <w:shd w:val="clear" w:color="auto" w:fill="auto"/>
            <w:vAlign w:val="bottom"/>
            <w:hideMark/>
          </w:tcPr>
          <w:p w14:paraId="5BAFA8CC"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Total</w:t>
            </w:r>
          </w:p>
        </w:tc>
        <w:tc>
          <w:tcPr>
            <w:tcW w:w="686" w:type="dxa"/>
            <w:shd w:val="clear" w:color="auto" w:fill="auto"/>
            <w:vAlign w:val="bottom"/>
            <w:hideMark/>
          </w:tcPr>
          <w:p w14:paraId="7CEB7B10"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 xml:space="preserve">From </w:t>
            </w:r>
            <w:r w:rsidRPr="007F7069">
              <w:rPr>
                <w:rFonts w:ascii="Calibri" w:eastAsia="Times New Roman" w:hAnsi="Calibri" w:cs="Times New Roman"/>
                <w:color w:val="7030A0"/>
                <w:sz w:val="22"/>
                <w:szCs w:val="22"/>
                <w:lang w:eastAsia="en-US"/>
              </w:rPr>
              <w:br/>
              <w:t>year 3</w:t>
            </w:r>
          </w:p>
        </w:tc>
        <w:tc>
          <w:tcPr>
            <w:tcW w:w="740" w:type="dxa"/>
            <w:shd w:val="clear" w:color="auto" w:fill="auto"/>
            <w:vAlign w:val="bottom"/>
            <w:hideMark/>
          </w:tcPr>
          <w:p w14:paraId="70DD16A9"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 xml:space="preserve">From </w:t>
            </w:r>
            <w:r w:rsidRPr="007F7069">
              <w:rPr>
                <w:rFonts w:ascii="Calibri" w:eastAsia="Times New Roman" w:hAnsi="Calibri" w:cs="Times New Roman"/>
                <w:color w:val="7030A0"/>
                <w:sz w:val="22"/>
                <w:szCs w:val="22"/>
                <w:lang w:eastAsia="en-US"/>
              </w:rPr>
              <w:br/>
              <w:t>Year 4</w:t>
            </w:r>
          </w:p>
        </w:tc>
        <w:tc>
          <w:tcPr>
            <w:tcW w:w="683" w:type="dxa"/>
            <w:shd w:val="clear" w:color="auto" w:fill="auto"/>
            <w:vAlign w:val="bottom"/>
            <w:hideMark/>
          </w:tcPr>
          <w:p w14:paraId="6CBB495A"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Total</w:t>
            </w:r>
          </w:p>
        </w:tc>
        <w:tc>
          <w:tcPr>
            <w:tcW w:w="1308" w:type="dxa"/>
            <w:shd w:val="clear" w:color="auto" w:fill="auto"/>
            <w:noWrap/>
            <w:vAlign w:val="bottom"/>
            <w:hideMark/>
          </w:tcPr>
          <w:p w14:paraId="67F9FA8D" w14:textId="77777777" w:rsidR="00F90FD0" w:rsidRPr="007F7069" w:rsidRDefault="00F90FD0" w:rsidP="00F90FD0">
            <w:pPr>
              <w:jc w:val="center"/>
              <w:rPr>
                <w:rFonts w:ascii="Calibri" w:eastAsia="Times New Roman" w:hAnsi="Calibri" w:cs="Times New Roman"/>
                <w:b/>
                <w:bCs/>
                <w:sz w:val="22"/>
                <w:szCs w:val="22"/>
                <w:lang w:eastAsia="en-US"/>
              </w:rPr>
            </w:pPr>
            <w:r w:rsidRPr="007F7069">
              <w:rPr>
                <w:rFonts w:ascii="Calibri" w:eastAsia="Times New Roman" w:hAnsi="Calibri" w:cs="Times New Roman"/>
                <w:b/>
                <w:bCs/>
                <w:sz w:val="22"/>
                <w:szCs w:val="22"/>
                <w:lang w:eastAsia="en-US"/>
              </w:rPr>
              <w:t xml:space="preserve"> </w:t>
            </w:r>
          </w:p>
        </w:tc>
      </w:tr>
      <w:tr w:rsidR="00F90FD0" w:rsidRPr="007F7069" w14:paraId="7EBF1E0B" w14:textId="77777777" w:rsidTr="00F90FD0">
        <w:trPr>
          <w:trHeight w:val="315"/>
        </w:trPr>
        <w:tc>
          <w:tcPr>
            <w:tcW w:w="961" w:type="dxa"/>
            <w:shd w:val="clear" w:color="auto" w:fill="auto"/>
            <w:noWrap/>
            <w:vAlign w:val="bottom"/>
            <w:hideMark/>
          </w:tcPr>
          <w:p w14:paraId="3E2F2F0C"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1</w:t>
            </w:r>
          </w:p>
        </w:tc>
        <w:tc>
          <w:tcPr>
            <w:tcW w:w="986" w:type="dxa"/>
            <w:shd w:val="clear" w:color="auto" w:fill="auto"/>
            <w:noWrap/>
            <w:vAlign w:val="bottom"/>
            <w:hideMark/>
          </w:tcPr>
          <w:p w14:paraId="332CAB1D"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1</w:t>
            </w:r>
          </w:p>
        </w:tc>
        <w:tc>
          <w:tcPr>
            <w:tcW w:w="840" w:type="dxa"/>
            <w:shd w:val="clear" w:color="auto" w:fill="auto"/>
            <w:noWrap/>
            <w:vAlign w:val="bottom"/>
            <w:hideMark/>
          </w:tcPr>
          <w:p w14:paraId="53AD4383"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8</w:t>
            </w:r>
          </w:p>
        </w:tc>
        <w:tc>
          <w:tcPr>
            <w:tcW w:w="683" w:type="dxa"/>
            <w:shd w:val="clear" w:color="auto" w:fill="auto"/>
            <w:noWrap/>
            <w:vAlign w:val="bottom"/>
            <w:hideMark/>
          </w:tcPr>
          <w:p w14:paraId="3903D979"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10</w:t>
            </w:r>
          </w:p>
        </w:tc>
        <w:tc>
          <w:tcPr>
            <w:tcW w:w="686" w:type="dxa"/>
            <w:shd w:val="clear" w:color="auto" w:fill="auto"/>
            <w:noWrap/>
            <w:vAlign w:val="bottom"/>
            <w:hideMark/>
          </w:tcPr>
          <w:p w14:paraId="63BACB79" w14:textId="77777777" w:rsidR="00F90FD0" w:rsidRPr="007F7069" w:rsidRDefault="00F90FD0" w:rsidP="00F90FD0">
            <w:pPr>
              <w:jc w:val="center"/>
              <w:rPr>
                <w:rFonts w:ascii="Calibri" w:eastAsia="Times New Roman" w:hAnsi="Calibri" w:cs="Times New Roman"/>
                <w:color w:val="7030A0"/>
                <w:sz w:val="22"/>
                <w:szCs w:val="22"/>
                <w:lang w:eastAsia="en-US"/>
              </w:rPr>
            </w:pPr>
            <w:r>
              <w:rPr>
                <w:rFonts w:ascii="Calibri" w:eastAsia="Times New Roman" w:hAnsi="Calibri" w:cs="Times New Roman"/>
                <w:color w:val="7030A0"/>
                <w:sz w:val="22"/>
                <w:szCs w:val="22"/>
                <w:lang w:eastAsia="en-US"/>
              </w:rPr>
              <w:t>6</w:t>
            </w:r>
          </w:p>
        </w:tc>
        <w:tc>
          <w:tcPr>
            <w:tcW w:w="740" w:type="dxa"/>
            <w:shd w:val="clear" w:color="auto" w:fill="auto"/>
            <w:noWrap/>
            <w:vAlign w:val="bottom"/>
            <w:hideMark/>
          </w:tcPr>
          <w:p w14:paraId="101CDCF7"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9</w:t>
            </w:r>
          </w:p>
        </w:tc>
        <w:tc>
          <w:tcPr>
            <w:tcW w:w="683" w:type="dxa"/>
            <w:shd w:val="clear" w:color="auto" w:fill="auto"/>
            <w:noWrap/>
            <w:vAlign w:val="bottom"/>
            <w:hideMark/>
          </w:tcPr>
          <w:p w14:paraId="3E55BACF"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1</w:t>
            </w:r>
            <w:r>
              <w:rPr>
                <w:rFonts w:ascii="Calibri" w:eastAsia="Times New Roman" w:hAnsi="Calibri" w:cs="Times New Roman"/>
                <w:b/>
                <w:bCs/>
                <w:color w:val="7030A0"/>
                <w:sz w:val="22"/>
                <w:szCs w:val="22"/>
                <w:lang w:eastAsia="en-US"/>
              </w:rPr>
              <w:t>5</w:t>
            </w:r>
          </w:p>
        </w:tc>
        <w:tc>
          <w:tcPr>
            <w:tcW w:w="1308" w:type="dxa"/>
            <w:shd w:val="clear" w:color="auto" w:fill="auto"/>
            <w:noWrap/>
            <w:vAlign w:val="bottom"/>
            <w:hideMark/>
          </w:tcPr>
          <w:p w14:paraId="79EC712F" w14:textId="77777777" w:rsidR="00F90FD0" w:rsidRPr="007F7069" w:rsidRDefault="00F90FD0" w:rsidP="00F90FD0">
            <w:pPr>
              <w:jc w:val="center"/>
              <w:rPr>
                <w:rFonts w:ascii="Calibri" w:eastAsia="Times New Roman" w:hAnsi="Calibri" w:cs="Times New Roman"/>
                <w:b/>
                <w:bCs/>
                <w:color w:val="000000"/>
                <w:sz w:val="22"/>
                <w:szCs w:val="22"/>
                <w:lang w:eastAsia="en-US"/>
              </w:rPr>
            </w:pPr>
            <w:r w:rsidRPr="007F7069">
              <w:rPr>
                <w:rFonts w:ascii="Calibri" w:eastAsia="Times New Roman" w:hAnsi="Calibri" w:cs="Times New Roman"/>
                <w:b/>
                <w:bCs/>
                <w:color w:val="000000"/>
                <w:sz w:val="22"/>
                <w:szCs w:val="22"/>
                <w:lang w:eastAsia="en-US"/>
              </w:rPr>
              <w:t>2</w:t>
            </w:r>
            <w:r>
              <w:rPr>
                <w:rFonts w:ascii="Calibri" w:eastAsia="Times New Roman" w:hAnsi="Calibri" w:cs="Times New Roman"/>
                <w:b/>
                <w:bCs/>
                <w:color w:val="000000"/>
                <w:sz w:val="22"/>
                <w:szCs w:val="22"/>
                <w:lang w:eastAsia="en-US"/>
              </w:rPr>
              <w:t>5</w:t>
            </w:r>
          </w:p>
        </w:tc>
      </w:tr>
      <w:tr w:rsidR="00F90FD0" w:rsidRPr="007F7069" w14:paraId="31F15C3E" w14:textId="77777777" w:rsidTr="00F90FD0">
        <w:trPr>
          <w:trHeight w:val="319"/>
        </w:trPr>
        <w:tc>
          <w:tcPr>
            <w:tcW w:w="961" w:type="dxa"/>
            <w:shd w:val="clear" w:color="auto" w:fill="auto"/>
            <w:noWrap/>
            <w:vAlign w:val="bottom"/>
            <w:hideMark/>
          </w:tcPr>
          <w:p w14:paraId="04F08383"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1</w:t>
            </w:r>
          </w:p>
        </w:tc>
        <w:tc>
          <w:tcPr>
            <w:tcW w:w="986" w:type="dxa"/>
            <w:shd w:val="clear" w:color="auto" w:fill="auto"/>
            <w:noWrap/>
            <w:vAlign w:val="bottom"/>
            <w:hideMark/>
          </w:tcPr>
          <w:p w14:paraId="19F1E147"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1</w:t>
            </w:r>
          </w:p>
        </w:tc>
        <w:tc>
          <w:tcPr>
            <w:tcW w:w="840" w:type="dxa"/>
            <w:shd w:val="clear" w:color="auto" w:fill="auto"/>
            <w:noWrap/>
            <w:vAlign w:val="bottom"/>
            <w:hideMark/>
          </w:tcPr>
          <w:p w14:paraId="6F5C2C78"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8</w:t>
            </w:r>
          </w:p>
        </w:tc>
        <w:tc>
          <w:tcPr>
            <w:tcW w:w="683" w:type="dxa"/>
            <w:shd w:val="clear" w:color="auto" w:fill="auto"/>
            <w:noWrap/>
            <w:vAlign w:val="bottom"/>
            <w:hideMark/>
          </w:tcPr>
          <w:p w14:paraId="3E22E2F7" w14:textId="77777777" w:rsidR="00F90FD0" w:rsidRPr="007F7069" w:rsidRDefault="00F90FD0" w:rsidP="00F90FD0">
            <w:pPr>
              <w:jc w:val="center"/>
              <w:rPr>
                <w:rFonts w:ascii="Calibri" w:eastAsia="Times New Roman" w:hAnsi="Calibri" w:cs="Times New Roman"/>
                <w:b/>
                <w:bCs/>
                <w:color w:val="7030A0"/>
                <w:sz w:val="22"/>
                <w:szCs w:val="22"/>
                <w:lang w:eastAsia="en-US"/>
              </w:rPr>
            </w:pPr>
            <w:r w:rsidRPr="007F7069">
              <w:rPr>
                <w:rFonts w:ascii="Calibri" w:eastAsia="Times New Roman" w:hAnsi="Calibri" w:cs="Times New Roman"/>
                <w:b/>
                <w:bCs/>
                <w:color w:val="7030A0"/>
                <w:sz w:val="22"/>
                <w:szCs w:val="22"/>
                <w:lang w:eastAsia="en-US"/>
              </w:rPr>
              <w:t>10</w:t>
            </w:r>
          </w:p>
        </w:tc>
        <w:tc>
          <w:tcPr>
            <w:tcW w:w="686" w:type="dxa"/>
            <w:shd w:val="clear" w:color="auto" w:fill="auto"/>
            <w:noWrap/>
            <w:vAlign w:val="bottom"/>
            <w:hideMark/>
          </w:tcPr>
          <w:p w14:paraId="5B6A02CF" w14:textId="77777777" w:rsidR="00F90FD0" w:rsidRPr="007F7069" w:rsidRDefault="00F90FD0" w:rsidP="00F90FD0">
            <w:pPr>
              <w:jc w:val="center"/>
              <w:rPr>
                <w:rFonts w:ascii="Calibri" w:eastAsia="Times New Roman" w:hAnsi="Calibri" w:cs="Times New Roman"/>
                <w:color w:val="7030A0"/>
                <w:sz w:val="22"/>
                <w:szCs w:val="22"/>
                <w:lang w:eastAsia="en-US"/>
              </w:rPr>
            </w:pPr>
            <w:r w:rsidRPr="007F7069">
              <w:rPr>
                <w:rFonts w:ascii="Calibri" w:eastAsia="Times New Roman" w:hAnsi="Calibri" w:cs="Times New Roman"/>
                <w:color w:val="7030A0"/>
                <w:sz w:val="22"/>
                <w:szCs w:val="22"/>
                <w:lang w:eastAsia="en-US"/>
              </w:rPr>
              <w:t>0</w:t>
            </w:r>
          </w:p>
        </w:tc>
        <w:tc>
          <w:tcPr>
            <w:tcW w:w="740" w:type="dxa"/>
            <w:shd w:val="clear" w:color="auto" w:fill="auto"/>
            <w:noWrap/>
            <w:vAlign w:val="bottom"/>
            <w:hideMark/>
          </w:tcPr>
          <w:p w14:paraId="0CFA9A51" w14:textId="77777777" w:rsidR="00F90FD0" w:rsidRPr="007F7069" w:rsidRDefault="00F90FD0" w:rsidP="00F90FD0">
            <w:pPr>
              <w:jc w:val="center"/>
              <w:rPr>
                <w:rFonts w:ascii="Calibri" w:eastAsia="Times New Roman" w:hAnsi="Calibri" w:cs="Times New Roman"/>
                <w:color w:val="7030A0"/>
                <w:sz w:val="22"/>
                <w:szCs w:val="22"/>
                <w:lang w:eastAsia="en-US"/>
              </w:rPr>
            </w:pPr>
            <w:r>
              <w:rPr>
                <w:rFonts w:ascii="Calibri" w:eastAsia="Times New Roman" w:hAnsi="Calibri" w:cs="Times New Roman"/>
                <w:color w:val="7030A0"/>
                <w:sz w:val="22"/>
                <w:szCs w:val="22"/>
                <w:lang w:eastAsia="en-US"/>
              </w:rPr>
              <w:t>8</w:t>
            </w:r>
          </w:p>
        </w:tc>
        <w:tc>
          <w:tcPr>
            <w:tcW w:w="683" w:type="dxa"/>
            <w:shd w:val="clear" w:color="auto" w:fill="auto"/>
            <w:noWrap/>
            <w:vAlign w:val="bottom"/>
            <w:hideMark/>
          </w:tcPr>
          <w:p w14:paraId="04FEC41C" w14:textId="77777777" w:rsidR="00F90FD0" w:rsidRPr="007F7069" w:rsidRDefault="00F90FD0" w:rsidP="00F90FD0">
            <w:pPr>
              <w:jc w:val="center"/>
              <w:rPr>
                <w:rFonts w:ascii="Calibri" w:eastAsia="Times New Roman" w:hAnsi="Calibri" w:cs="Times New Roman"/>
                <w:b/>
                <w:bCs/>
                <w:color w:val="7030A0"/>
                <w:sz w:val="22"/>
                <w:szCs w:val="22"/>
                <w:lang w:eastAsia="en-US"/>
              </w:rPr>
            </w:pPr>
            <w:r>
              <w:rPr>
                <w:rFonts w:ascii="Calibri" w:eastAsia="Times New Roman" w:hAnsi="Calibri" w:cs="Times New Roman"/>
                <w:b/>
                <w:bCs/>
                <w:color w:val="7030A0"/>
                <w:sz w:val="22"/>
                <w:szCs w:val="22"/>
                <w:lang w:eastAsia="en-US"/>
              </w:rPr>
              <w:t>8</w:t>
            </w:r>
          </w:p>
        </w:tc>
        <w:tc>
          <w:tcPr>
            <w:tcW w:w="1308" w:type="dxa"/>
            <w:shd w:val="clear" w:color="auto" w:fill="auto"/>
            <w:noWrap/>
            <w:vAlign w:val="bottom"/>
            <w:hideMark/>
          </w:tcPr>
          <w:p w14:paraId="3CB61FDE" w14:textId="77777777" w:rsidR="00F90FD0" w:rsidRPr="007F7069" w:rsidRDefault="00F90FD0" w:rsidP="00F90FD0">
            <w:pPr>
              <w:jc w:val="center"/>
              <w:rPr>
                <w:rFonts w:ascii="Calibri" w:eastAsia="Times New Roman" w:hAnsi="Calibri" w:cs="Times New Roman"/>
                <w:b/>
                <w:bCs/>
                <w:color w:val="000000"/>
                <w:sz w:val="22"/>
                <w:szCs w:val="22"/>
                <w:lang w:eastAsia="en-US"/>
              </w:rPr>
            </w:pPr>
            <w:r w:rsidRPr="007F7069">
              <w:rPr>
                <w:rFonts w:ascii="Calibri" w:eastAsia="Times New Roman" w:hAnsi="Calibri" w:cs="Times New Roman"/>
                <w:b/>
                <w:bCs/>
                <w:color w:val="000000"/>
                <w:sz w:val="22"/>
                <w:szCs w:val="22"/>
                <w:lang w:eastAsia="en-US"/>
              </w:rPr>
              <w:t>1</w:t>
            </w:r>
            <w:r>
              <w:rPr>
                <w:rFonts w:ascii="Calibri" w:eastAsia="Times New Roman" w:hAnsi="Calibri" w:cs="Times New Roman"/>
                <w:b/>
                <w:bCs/>
                <w:color w:val="000000"/>
                <w:sz w:val="22"/>
                <w:szCs w:val="22"/>
                <w:lang w:eastAsia="en-US"/>
              </w:rPr>
              <w:t>8</w:t>
            </w:r>
          </w:p>
        </w:tc>
      </w:tr>
    </w:tbl>
    <w:p w14:paraId="136C9323" w14:textId="77777777" w:rsidR="008B7F13" w:rsidRDefault="008B7F13">
      <w:pPr>
        <w:spacing w:after="160" w:line="259" w:lineRule="auto"/>
        <w:rPr>
          <w:rFonts w:ascii="Cambria" w:eastAsia="Times New Roman" w:hAnsi="Cambria" w:cs="Times New Roman"/>
          <w:b/>
          <w:sz w:val="26"/>
          <w:szCs w:val="26"/>
        </w:rPr>
      </w:pPr>
    </w:p>
    <w:p w14:paraId="47556CAC" w14:textId="77777777" w:rsidR="008B7F13" w:rsidRDefault="008B7F13">
      <w:pPr>
        <w:spacing w:after="160" w:line="259" w:lineRule="auto"/>
        <w:rPr>
          <w:rFonts w:ascii="Cambria" w:eastAsia="Times New Roman" w:hAnsi="Cambria" w:cs="Times New Roman"/>
          <w:b/>
          <w:sz w:val="26"/>
          <w:szCs w:val="26"/>
        </w:rPr>
      </w:pPr>
    </w:p>
    <w:p w14:paraId="3336DCD9" w14:textId="77777777" w:rsidR="006162DA" w:rsidRDefault="006162DA">
      <w:pPr>
        <w:spacing w:after="160" w:line="259" w:lineRule="auto"/>
        <w:rPr>
          <w:rFonts w:ascii="Cambria" w:eastAsia="Times New Roman" w:hAnsi="Cambria" w:cs="Times New Roman"/>
          <w:b/>
          <w:sz w:val="26"/>
          <w:szCs w:val="26"/>
        </w:rPr>
      </w:pPr>
    </w:p>
    <w:p w14:paraId="5AC34CEB" w14:textId="77777777" w:rsidR="006162DA" w:rsidRDefault="006162DA">
      <w:pPr>
        <w:spacing w:after="160" w:line="259" w:lineRule="auto"/>
        <w:rPr>
          <w:rFonts w:ascii="Cambria" w:eastAsia="Times New Roman" w:hAnsi="Cambria" w:cs="Times New Roman"/>
          <w:b/>
          <w:sz w:val="26"/>
          <w:szCs w:val="26"/>
        </w:rPr>
      </w:pPr>
    </w:p>
    <w:p w14:paraId="116AB648" w14:textId="77777777" w:rsidR="006162DA" w:rsidRDefault="006162DA">
      <w:pPr>
        <w:spacing w:after="160" w:line="259" w:lineRule="auto"/>
        <w:rPr>
          <w:rFonts w:ascii="Cambria" w:eastAsia="Times New Roman" w:hAnsi="Cambria" w:cs="Times New Roman"/>
          <w:b/>
          <w:sz w:val="26"/>
          <w:szCs w:val="26"/>
        </w:rPr>
      </w:pPr>
    </w:p>
    <w:p w14:paraId="45DF92A4" w14:textId="77777777" w:rsidR="006162DA" w:rsidRDefault="006162DA">
      <w:pPr>
        <w:spacing w:after="160" w:line="259" w:lineRule="auto"/>
        <w:rPr>
          <w:rFonts w:ascii="Cambria" w:eastAsia="Times New Roman" w:hAnsi="Cambria" w:cs="Times New Roman"/>
          <w:b/>
          <w:sz w:val="26"/>
          <w:szCs w:val="26"/>
        </w:rPr>
      </w:pPr>
    </w:p>
    <w:p w14:paraId="2D09770B" w14:textId="77777777" w:rsidR="006162DA" w:rsidRDefault="006162DA">
      <w:pPr>
        <w:spacing w:after="160" w:line="259" w:lineRule="auto"/>
        <w:rPr>
          <w:rFonts w:ascii="Cambria" w:eastAsia="Times New Roman" w:hAnsi="Cambria" w:cs="Times New Roman"/>
          <w:b/>
          <w:sz w:val="26"/>
          <w:szCs w:val="26"/>
        </w:rPr>
      </w:pPr>
    </w:p>
    <w:p w14:paraId="5F28B630" w14:textId="77777777" w:rsidR="006162DA" w:rsidRDefault="006162DA">
      <w:pPr>
        <w:spacing w:after="160" w:line="259" w:lineRule="auto"/>
        <w:rPr>
          <w:rFonts w:ascii="Cambria" w:eastAsia="Times New Roman" w:hAnsi="Cambria" w:cs="Times New Roman"/>
          <w:b/>
          <w:sz w:val="26"/>
          <w:szCs w:val="26"/>
        </w:rPr>
      </w:pPr>
    </w:p>
    <w:p w14:paraId="37E23D6F" w14:textId="77777777" w:rsidR="006162DA" w:rsidRDefault="006162DA">
      <w:pPr>
        <w:spacing w:after="160" w:line="259" w:lineRule="auto"/>
        <w:rPr>
          <w:rFonts w:ascii="Cambria" w:eastAsia="Times New Roman" w:hAnsi="Cambria" w:cs="Times New Roman"/>
          <w:b/>
          <w:sz w:val="26"/>
          <w:szCs w:val="26"/>
        </w:rPr>
      </w:pPr>
    </w:p>
    <w:p w14:paraId="7D5B97AC" w14:textId="77777777" w:rsidR="006162DA" w:rsidRDefault="006162DA">
      <w:pPr>
        <w:spacing w:after="160" w:line="259" w:lineRule="auto"/>
        <w:rPr>
          <w:rFonts w:ascii="Cambria" w:eastAsia="Times New Roman" w:hAnsi="Cambria" w:cs="Times New Roman"/>
          <w:b/>
          <w:sz w:val="26"/>
          <w:szCs w:val="26"/>
        </w:rPr>
      </w:pPr>
    </w:p>
    <w:p w14:paraId="3DD6A535" w14:textId="77777777" w:rsidR="006162DA" w:rsidRDefault="006162DA">
      <w:pPr>
        <w:spacing w:after="160" w:line="259" w:lineRule="auto"/>
        <w:rPr>
          <w:rFonts w:ascii="Cambria" w:eastAsia="Times New Roman" w:hAnsi="Cambria" w:cs="Times New Roman"/>
          <w:b/>
          <w:sz w:val="26"/>
          <w:szCs w:val="26"/>
        </w:rPr>
      </w:pPr>
    </w:p>
    <w:p w14:paraId="6E8CC8AE" w14:textId="77777777" w:rsidR="006162DA" w:rsidRDefault="006162DA">
      <w:pPr>
        <w:spacing w:after="160" w:line="259" w:lineRule="auto"/>
        <w:rPr>
          <w:rFonts w:ascii="Cambria" w:eastAsia="Times New Roman" w:hAnsi="Cambria" w:cs="Times New Roman"/>
          <w:b/>
          <w:sz w:val="26"/>
          <w:szCs w:val="26"/>
        </w:rPr>
      </w:pPr>
    </w:p>
    <w:p w14:paraId="29FBA0AA" w14:textId="77777777" w:rsidR="006162DA" w:rsidRDefault="006162DA">
      <w:pPr>
        <w:spacing w:after="160" w:line="259" w:lineRule="auto"/>
        <w:rPr>
          <w:rFonts w:ascii="Cambria" w:eastAsia="Times New Roman" w:hAnsi="Cambria" w:cs="Times New Roman"/>
          <w:b/>
          <w:sz w:val="26"/>
          <w:szCs w:val="26"/>
        </w:rPr>
      </w:pPr>
    </w:p>
    <w:p w14:paraId="354F7180" w14:textId="77777777" w:rsidR="00BD3A76" w:rsidRDefault="00BD3A76">
      <w:pPr>
        <w:spacing w:after="160" w:line="259" w:lineRule="auto"/>
        <w:rPr>
          <w:rFonts w:ascii="Cambria" w:eastAsia="Times New Roman" w:hAnsi="Cambria" w:cs="Times New Roman"/>
          <w:b/>
          <w:sz w:val="26"/>
          <w:szCs w:val="26"/>
        </w:rPr>
        <w:sectPr w:rsidR="00BD3A76" w:rsidSect="007F7069">
          <w:pgSz w:w="15840" w:h="12240" w:orient="landscape"/>
          <w:pgMar w:top="720" w:right="1080" w:bottom="360" w:left="1080" w:header="720" w:footer="720" w:gutter="0"/>
          <w:cols w:space="720"/>
          <w:docGrid w:linePitch="360"/>
        </w:sectPr>
      </w:pPr>
    </w:p>
    <w:p w14:paraId="43C209E0" w14:textId="77777777" w:rsidR="006162DA" w:rsidRDefault="006162DA">
      <w:pPr>
        <w:spacing w:after="160" w:line="259" w:lineRule="auto"/>
        <w:rPr>
          <w:rFonts w:ascii="Cambria" w:eastAsia="Times New Roman" w:hAnsi="Cambria" w:cs="Times New Roman"/>
          <w:b/>
          <w:sz w:val="26"/>
          <w:szCs w:val="26"/>
        </w:rPr>
      </w:pPr>
      <w:r>
        <w:rPr>
          <w:rFonts w:ascii="Cambria" w:eastAsia="Times New Roman" w:hAnsi="Cambria" w:cs="Times New Roman"/>
          <w:b/>
          <w:sz w:val="26"/>
          <w:szCs w:val="26"/>
        </w:rPr>
        <w:lastRenderedPageBreak/>
        <w:t>APPENDIX B: Projected Graduation Rate</w:t>
      </w:r>
      <w:r w:rsidR="0087167C">
        <w:rPr>
          <w:rFonts w:ascii="Cambria" w:eastAsia="Times New Roman" w:hAnsi="Cambria" w:cs="Times New Roman"/>
          <w:b/>
          <w:sz w:val="26"/>
          <w:szCs w:val="26"/>
        </w:rPr>
        <w:t xml:space="preserve"> by Richard Dirmyer</w:t>
      </w:r>
    </w:p>
    <w:p w14:paraId="0601B011" w14:textId="77777777" w:rsidR="006162DA" w:rsidRDefault="006162DA" w:rsidP="006162DA">
      <w:r>
        <w:t>As part of the proposed NTID Culinary Arts AOS degree program, expected graduation rates were developed considering the following deaf and hard-of-hearing cohorts:</w:t>
      </w:r>
    </w:p>
    <w:p w14:paraId="09CC3FEA" w14:textId="77777777" w:rsidR="006162DA" w:rsidRDefault="006162DA" w:rsidP="006162DA">
      <w:pPr>
        <w:pStyle w:val="ListParagraph"/>
        <w:numPr>
          <w:ilvl w:val="0"/>
          <w:numId w:val="10"/>
        </w:numPr>
      </w:pPr>
      <w:r>
        <w:t>NTID AOS program students, and separately;</w:t>
      </w:r>
    </w:p>
    <w:p w14:paraId="7BBCAF46" w14:textId="77777777" w:rsidR="006162DA" w:rsidRDefault="006162DA" w:rsidP="006162DA">
      <w:pPr>
        <w:pStyle w:val="ListParagraph"/>
        <w:numPr>
          <w:ilvl w:val="0"/>
          <w:numId w:val="10"/>
        </w:numPr>
      </w:pPr>
      <w:r>
        <w:t>NTID CIMT AOS program students</w:t>
      </w:r>
    </w:p>
    <w:p w14:paraId="109D0446" w14:textId="77777777" w:rsidR="006162DA" w:rsidRDefault="006162DA" w:rsidP="0087167C">
      <w:pPr>
        <w:spacing w:after="240"/>
      </w:pPr>
      <w:r>
        <w:t xml:space="preserve">These two cohorts come closest to representing the aspects about the proposed program, justifying the expected graduation rates proposed.  The NTID CIMT AOS degree program is similarly unique to the proposed program, in that it is the only other NTID AOS program without an AAS track.  </w:t>
      </w:r>
    </w:p>
    <w:p w14:paraId="72B99E02" w14:textId="77777777" w:rsidR="006162DA" w:rsidRDefault="006162DA" w:rsidP="0087167C">
      <w:pPr>
        <w:spacing w:before="240"/>
      </w:pPr>
      <w:r>
        <w:t xml:space="preserve">In an effort to moderate the observed variation in graduation rates, three-year averages were calculated.  Consideration for a six-year interval is entirely a function of allowing any student who transfers, prior to completing the associate degree, to four-year baccalaureate programs, a complete 150% of their program’s designed length of time to graduate.  Otherwise, students remaining in this associate degree program for their academic career will be counted as graduated or not, at 2.5*150%, given the program’s designed length of 5 semesters.  </w:t>
      </w:r>
    </w:p>
    <w:p w14:paraId="55EFB5DA" w14:textId="77777777" w:rsidR="0087167C" w:rsidRDefault="0087167C" w:rsidP="0087167C"/>
    <w:tbl>
      <w:tblPr>
        <w:tblW w:w="5752" w:type="dxa"/>
        <w:jc w:val="center"/>
        <w:tblLook w:val="04A0" w:firstRow="1" w:lastRow="0" w:firstColumn="1" w:lastColumn="0" w:noHBand="0" w:noVBand="1"/>
      </w:tblPr>
      <w:tblGrid>
        <w:gridCol w:w="4731"/>
        <w:gridCol w:w="1021"/>
      </w:tblGrid>
      <w:tr w:rsidR="006162DA" w:rsidRPr="00470716" w14:paraId="3873A138" w14:textId="77777777" w:rsidTr="005D2FA3">
        <w:trPr>
          <w:gridAfter w:val="1"/>
          <w:wAfter w:w="1021" w:type="dxa"/>
          <w:trHeight w:val="300"/>
          <w:jc w:val="center"/>
        </w:trPr>
        <w:tc>
          <w:tcPr>
            <w:tcW w:w="4731" w:type="dxa"/>
            <w:tcBorders>
              <w:top w:val="nil"/>
              <w:left w:val="nil"/>
              <w:bottom w:val="nil"/>
              <w:right w:val="nil"/>
            </w:tcBorders>
            <w:shd w:val="clear" w:color="auto" w:fill="auto"/>
            <w:noWrap/>
            <w:vAlign w:val="bottom"/>
            <w:hideMark/>
          </w:tcPr>
          <w:p w14:paraId="6820413D" w14:textId="77777777" w:rsidR="006162DA" w:rsidRPr="00470716" w:rsidRDefault="006162DA" w:rsidP="005D2FA3">
            <w:pPr>
              <w:rPr>
                <w:rFonts w:ascii="Times New Roman" w:eastAsia="Times New Roman" w:hAnsi="Times New Roman" w:cs="Times New Roman"/>
              </w:rPr>
            </w:pPr>
            <w:r w:rsidRPr="00470716">
              <w:rPr>
                <w:rFonts w:ascii="Calibri" w:eastAsia="Times New Roman" w:hAnsi="Calibri" w:cs="Times New Roman"/>
                <w:color w:val="000000"/>
                <w:u w:val="single"/>
              </w:rPr>
              <w:t xml:space="preserve">Graduation Rates (Three Year </w:t>
            </w:r>
            <w:r>
              <w:rPr>
                <w:rFonts w:ascii="Calibri" w:eastAsia="Times New Roman" w:hAnsi="Calibri" w:cs="Times New Roman"/>
                <w:color w:val="000000"/>
                <w:u w:val="single"/>
              </w:rPr>
              <w:t xml:space="preserve">Weighted </w:t>
            </w:r>
            <w:r w:rsidRPr="00470716">
              <w:rPr>
                <w:rFonts w:ascii="Calibri" w:eastAsia="Times New Roman" w:hAnsi="Calibri" w:cs="Times New Roman"/>
                <w:color w:val="000000"/>
                <w:u w:val="single"/>
              </w:rPr>
              <w:t>Average)</w:t>
            </w:r>
          </w:p>
        </w:tc>
      </w:tr>
      <w:tr w:rsidR="006162DA" w:rsidRPr="00470716" w14:paraId="1445436F" w14:textId="77777777" w:rsidTr="005D2FA3">
        <w:trPr>
          <w:trHeight w:val="300"/>
          <w:jc w:val="center"/>
        </w:trPr>
        <w:tc>
          <w:tcPr>
            <w:tcW w:w="4731" w:type="dxa"/>
            <w:tcBorders>
              <w:top w:val="nil"/>
              <w:left w:val="nil"/>
              <w:bottom w:val="nil"/>
              <w:right w:val="nil"/>
            </w:tcBorders>
            <w:shd w:val="clear" w:color="auto" w:fill="auto"/>
            <w:noWrap/>
            <w:vAlign w:val="bottom"/>
            <w:hideMark/>
          </w:tcPr>
          <w:p w14:paraId="46FCB5F0" w14:textId="77777777" w:rsidR="006162DA" w:rsidRPr="00470716" w:rsidRDefault="006162DA" w:rsidP="005D2FA3">
            <w:pPr>
              <w:jc w:val="center"/>
              <w:rPr>
                <w:rFonts w:ascii="Calibri" w:eastAsia="Times New Roman" w:hAnsi="Calibri" w:cs="Times New Roman"/>
                <w:color w:val="000000"/>
                <w:u w:val="single"/>
              </w:rPr>
            </w:pPr>
          </w:p>
        </w:tc>
        <w:tc>
          <w:tcPr>
            <w:tcW w:w="1021" w:type="dxa"/>
            <w:tcBorders>
              <w:top w:val="nil"/>
              <w:left w:val="nil"/>
              <w:bottom w:val="nil"/>
              <w:right w:val="nil"/>
            </w:tcBorders>
            <w:shd w:val="clear" w:color="auto" w:fill="auto"/>
            <w:noWrap/>
            <w:vAlign w:val="bottom"/>
            <w:hideMark/>
          </w:tcPr>
          <w:p w14:paraId="67DC94CC" w14:textId="77777777" w:rsidR="006162DA" w:rsidRPr="00470716" w:rsidRDefault="006162DA" w:rsidP="005D2FA3">
            <w:pPr>
              <w:jc w:val="center"/>
              <w:rPr>
                <w:rFonts w:ascii="Calibri" w:eastAsia="Times New Roman" w:hAnsi="Calibri" w:cs="Times New Roman"/>
                <w:color w:val="000000"/>
              </w:rPr>
            </w:pPr>
            <w:r w:rsidRPr="00470716">
              <w:rPr>
                <w:rFonts w:ascii="Calibri" w:eastAsia="Times New Roman" w:hAnsi="Calibri" w:cs="Times New Roman"/>
                <w:color w:val="000000"/>
              </w:rPr>
              <w:t>Six</w:t>
            </w:r>
            <w:r>
              <w:rPr>
                <w:rFonts w:ascii="Calibri" w:eastAsia="Times New Roman" w:hAnsi="Calibri" w:cs="Times New Roman"/>
                <w:color w:val="000000"/>
              </w:rPr>
              <w:t>-</w:t>
            </w:r>
            <w:r w:rsidRPr="00470716">
              <w:rPr>
                <w:rFonts w:ascii="Calibri" w:eastAsia="Times New Roman" w:hAnsi="Calibri" w:cs="Times New Roman"/>
                <w:color w:val="000000"/>
              </w:rPr>
              <w:t>Year</w:t>
            </w:r>
          </w:p>
        </w:tc>
      </w:tr>
      <w:tr w:rsidR="006162DA" w:rsidRPr="00470716" w14:paraId="0BC77812" w14:textId="77777777" w:rsidTr="005D2FA3">
        <w:trPr>
          <w:trHeight w:val="332"/>
          <w:jc w:val="center"/>
        </w:trPr>
        <w:tc>
          <w:tcPr>
            <w:tcW w:w="4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8AD53" w14:textId="77777777" w:rsidR="006162DA" w:rsidRPr="00470716" w:rsidRDefault="006162DA" w:rsidP="005D2FA3">
            <w:pPr>
              <w:rPr>
                <w:rFonts w:ascii="Calibri" w:eastAsia="Times New Roman" w:hAnsi="Calibri" w:cs="Times New Roman"/>
                <w:color w:val="000000"/>
              </w:rPr>
            </w:pPr>
            <w:r>
              <w:rPr>
                <w:rFonts w:ascii="Calibri" w:eastAsia="Times New Roman" w:hAnsi="Calibri" w:cs="Times New Roman"/>
                <w:color w:val="000000"/>
              </w:rPr>
              <w:t>NTID AOS program students</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595E253D" w14:textId="77777777" w:rsidR="006162DA" w:rsidRPr="00470716" w:rsidRDefault="006162DA" w:rsidP="005D2FA3">
            <w:pPr>
              <w:jc w:val="center"/>
              <w:rPr>
                <w:rFonts w:ascii="Calibri" w:eastAsia="Times New Roman" w:hAnsi="Calibri" w:cs="Times New Roman"/>
                <w:color w:val="000000"/>
              </w:rPr>
            </w:pPr>
            <w:r>
              <w:rPr>
                <w:rFonts w:ascii="Calibri" w:eastAsia="Times New Roman" w:hAnsi="Calibri" w:cs="Times New Roman"/>
                <w:color w:val="000000"/>
              </w:rPr>
              <w:t>35.74%</w:t>
            </w:r>
          </w:p>
        </w:tc>
      </w:tr>
      <w:tr w:rsidR="006162DA" w:rsidRPr="00470716" w14:paraId="6BDC4F48" w14:textId="77777777" w:rsidTr="005D2FA3">
        <w:trPr>
          <w:trHeight w:val="300"/>
          <w:jc w:val="center"/>
        </w:trPr>
        <w:tc>
          <w:tcPr>
            <w:tcW w:w="4731" w:type="dxa"/>
            <w:tcBorders>
              <w:top w:val="single" w:sz="4" w:space="0" w:color="auto"/>
              <w:left w:val="single" w:sz="4" w:space="0" w:color="auto"/>
              <w:bottom w:val="single" w:sz="4" w:space="0" w:color="auto"/>
              <w:right w:val="single" w:sz="4" w:space="0" w:color="auto"/>
            </w:tcBorders>
            <w:shd w:val="clear" w:color="auto" w:fill="auto"/>
            <w:vAlign w:val="bottom"/>
          </w:tcPr>
          <w:p w14:paraId="7E55F505" w14:textId="77777777" w:rsidR="006162DA" w:rsidRDefault="006162DA" w:rsidP="005D2FA3">
            <w:pPr>
              <w:rPr>
                <w:rFonts w:ascii="Calibri" w:eastAsia="Times New Roman" w:hAnsi="Calibri" w:cs="Times New Roman"/>
                <w:color w:val="000000"/>
              </w:rPr>
            </w:pPr>
            <w:r>
              <w:rPr>
                <w:rFonts w:ascii="Calibri" w:eastAsia="Times New Roman" w:hAnsi="Calibri" w:cs="Times New Roman"/>
                <w:color w:val="000000"/>
              </w:rPr>
              <w:t>NTID CIMT AOS program students</w:t>
            </w:r>
          </w:p>
        </w:tc>
        <w:tc>
          <w:tcPr>
            <w:tcW w:w="1021" w:type="dxa"/>
            <w:tcBorders>
              <w:top w:val="single" w:sz="4" w:space="0" w:color="auto"/>
              <w:left w:val="nil"/>
              <w:bottom w:val="single" w:sz="4" w:space="0" w:color="auto"/>
              <w:right w:val="single" w:sz="4" w:space="0" w:color="auto"/>
            </w:tcBorders>
            <w:shd w:val="clear" w:color="auto" w:fill="auto"/>
            <w:noWrap/>
            <w:vAlign w:val="bottom"/>
          </w:tcPr>
          <w:p w14:paraId="42A5C0A5" w14:textId="77777777" w:rsidR="006162DA" w:rsidRDefault="006162DA" w:rsidP="005D2FA3">
            <w:pPr>
              <w:jc w:val="center"/>
              <w:rPr>
                <w:rFonts w:ascii="Calibri" w:eastAsia="Times New Roman" w:hAnsi="Calibri" w:cs="Times New Roman"/>
                <w:color w:val="000000"/>
              </w:rPr>
            </w:pPr>
            <w:r>
              <w:rPr>
                <w:rFonts w:ascii="Calibri" w:eastAsia="Times New Roman" w:hAnsi="Calibri" w:cs="Times New Roman"/>
                <w:color w:val="000000"/>
              </w:rPr>
              <w:t>***</w:t>
            </w:r>
          </w:p>
        </w:tc>
      </w:tr>
    </w:tbl>
    <w:p w14:paraId="7DDA7916" w14:textId="77777777" w:rsidR="006162DA" w:rsidRDefault="006162DA" w:rsidP="006162DA"/>
    <w:p w14:paraId="41642B9E" w14:textId="77777777" w:rsidR="006162DA" w:rsidRDefault="006162DA" w:rsidP="006162DA">
      <w:r>
        <w:t xml:space="preserve">The NTID </w:t>
      </w:r>
      <w:r>
        <w:rPr>
          <w:rFonts w:ascii="Calibri" w:eastAsia="Times New Roman" w:hAnsi="Calibri" w:cs="Times New Roman"/>
          <w:color w:val="000000"/>
        </w:rPr>
        <w:t xml:space="preserve">CIMT AOS program </w:t>
      </w:r>
      <w:r>
        <w:t xml:space="preserve">contains cohort sizes that are very small, although graduation rates are among the highest of AOS programs.  Based on the three-year weighted averages above, it would seem reasonable to expect a graduation rate of approximately 40.00%, to be evaluated on an annual basis beginning with the third cohort of incoming students.  </w:t>
      </w:r>
    </w:p>
    <w:p w14:paraId="3AEA1228" w14:textId="77777777" w:rsidR="006162DA" w:rsidRDefault="006162DA" w:rsidP="006162DA">
      <w:r>
        <w:t>The expected graduation rates for the first five cohorts of incoming students in the Culinary Arts program follow:</w:t>
      </w:r>
    </w:p>
    <w:p w14:paraId="40C7667E" w14:textId="77777777" w:rsidR="0087167C" w:rsidRDefault="0087167C" w:rsidP="006162DA"/>
    <w:tbl>
      <w:tblPr>
        <w:tblW w:w="2076" w:type="dxa"/>
        <w:jc w:val="center"/>
        <w:tblLook w:val="04A0" w:firstRow="1" w:lastRow="0" w:firstColumn="1" w:lastColumn="0" w:noHBand="0" w:noVBand="1"/>
      </w:tblPr>
      <w:tblGrid>
        <w:gridCol w:w="1260"/>
        <w:gridCol w:w="816"/>
      </w:tblGrid>
      <w:tr w:rsidR="006162DA" w:rsidRPr="00096484" w14:paraId="1C9E9A9C" w14:textId="77777777" w:rsidTr="005D2FA3">
        <w:trPr>
          <w:trHeight w:val="300"/>
          <w:jc w:val="center"/>
        </w:trPr>
        <w:tc>
          <w:tcPr>
            <w:tcW w:w="1260" w:type="dxa"/>
            <w:tcBorders>
              <w:top w:val="nil"/>
              <w:left w:val="nil"/>
              <w:bottom w:val="single" w:sz="4" w:space="0" w:color="auto"/>
              <w:right w:val="nil"/>
            </w:tcBorders>
            <w:shd w:val="clear" w:color="auto" w:fill="auto"/>
            <w:noWrap/>
            <w:vAlign w:val="bottom"/>
            <w:hideMark/>
          </w:tcPr>
          <w:p w14:paraId="3CB3C112"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Fall Cohort</w:t>
            </w:r>
          </w:p>
        </w:tc>
        <w:tc>
          <w:tcPr>
            <w:tcW w:w="816" w:type="dxa"/>
            <w:tcBorders>
              <w:top w:val="nil"/>
              <w:left w:val="nil"/>
              <w:bottom w:val="single" w:sz="4" w:space="0" w:color="auto"/>
              <w:right w:val="nil"/>
            </w:tcBorders>
            <w:shd w:val="clear" w:color="auto" w:fill="auto"/>
            <w:noWrap/>
            <w:vAlign w:val="bottom"/>
            <w:hideMark/>
          </w:tcPr>
          <w:p w14:paraId="5702AC73"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AOS</w:t>
            </w:r>
          </w:p>
        </w:tc>
      </w:tr>
      <w:tr w:rsidR="006162DA" w:rsidRPr="00096484" w14:paraId="40091C05" w14:textId="77777777" w:rsidTr="005D2FA3">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1C8E"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201</w:t>
            </w:r>
            <w:r>
              <w:rPr>
                <w:rFonts w:ascii="Calibri" w:eastAsia="Times New Roman" w:hAnsi="Calibri" w:cs="Times New Roman"/>
                <w:color w:val="000000"/>
              </w:rPr>
              <w:t>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2ACF"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40</w:t>
            </w:r>
            <w:r w:rsidRPr="00096484">
              <w:rPr>
                <w:rFonts w:ascii="Calibri" w:eastAsia="Times New Roman" w:hAnsi="Calibri" w:cs="Times New Roman"/>
                <w:color w:val="000000"/>
              </w:rPr>
              <w:t>%</w:t>
            </w:r>
          </w:p>
        </w:tc>
      </w:tr>
      <w:tr w:rsidR="006162DA" w:rsidRPr="00096484" w14:paraId="0E6FB337" w14:textId="77777777" w:rsidTr="005D2FA3">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B6F8"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20</w:t>
            </w:r>
            <w:r>
              <w:rPr>
                <w:rFonts w:ascii="Calibri" w:eastAsia="Times New Roman" w:hAnsi="Calibri" w:cs="Times New Roman"/>
                <w:color w:val="000000"/>
              </w:rPr>
              <w:t>20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290D"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40</w:t>
            </w:r>
            <w:r w:rsidRPr="00096484">
              <w:rPr>
                <w:rFonts w:ascii="Calibri" w:eastAsia="Times New Roman" w:hAnsi="Calibri" w:cs="Times New Roman"/>
                <w:color w:val="000000"/>
              </w:rPr>
              <w:t>%</w:t>
            </w:r>
          </w:p>
        </w:tc>
      </w:tr>
      <w:tr w:rsidR="006162DA" w:rsidRPr="00096484" w14:paraId="435317F3" w14:textId="77777777" w:rsidTr="005D2FA3">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F023"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20</w:t>
            </w:r>
            <w:r>
              <w:rPr>
                <w:rFonts w:ascii="Calibri" w:eastAsia="Times New Roman" w:hAnsi="Calibri" w:cs="Times New Roman"/>
                <w:color w:val="000000"/>
              </w:rPr>
              <w:t>21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6087"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40</w:t>
            </w:r>
            <w:r w:rsidRPr="00096484">
              <w:rPr>
                <w:rFonts w:ascii="Calibri" w:eastAsia="Times New Roman" w:hAnsi="Calibri" w:cs="Times New Roman"/>
                <w:color w:val="000000"/>
              </w:rPr>
              <w:t>%</w:t>
            </w:r>
            <w:r>
              <w:rPr>
                <w:rFonts w:ascii="Calibri" w:eastAsia="Times New Roman" w:hAnsi="Calibri" w:cs="Times New Roman"/>
                <w:color w:val="000000"/>
              </w:rPr>
              <w:t>*</w:t>
            </w:r>
          </w:p>
        </w:tc>
      </w:tr>
      <w:tr w:rsidR="006162DA" w:rsidRPr="00096484" w14:paraId="6BE532E8" w14:textId="77777777" w:rsidTr="005D2FA3">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A973F"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20</w:t>
            </w:r>
            <w:r>
              <w:rPr>
                <w:rFonts w:ascii="Calibri" w:eastAsia="Times New Roman" w:hAnsi="Calibri" w:cs="Times New Roman"/>
                <w:color w:val="000000"/>
              </w:rPr>
              <w:t>22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4127"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40</w:t>
            </w:r>
            <w:r w:rsidRPr="00096484">
              <w:rPr>
                <w:rFonts w:ascii="Calibri" w:eastAsia="Times New Roman" w:hAnsi="Calibri" w:cs="Times New Roman"/>
                <w:color w:val="000000"/>
              </w:rPr>
              <w:t>%</w:t>
            </w:r>
            <w:r>
              <w:rPr>
                <w:rFonts w:ascii="Calibri" w:eastAsia="Times New Roman" w:hAnsi="Calibri" w:cs="Times New Roman"/>
                <w:color w:val="000000"/>
              </w:rPr>
              <w:t>*</w:t>
            </w:r>
          </w:p>
        </w:tc>
      </w:tr>
      <w:tr w:rsidR="006162DA" w:rsidRPr="00096484" w14:paraId="7940BA78" w14:textId="77777777" w:rsidTr="005D2FA3">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E1E5" w14:textId="77777777" w:rsidR="006162DA" w:rsidRPr="00096484" w:rsidRDefault="006162DA" w:rsidP="005D2FA3">
            <w:pPr>
              <w:jc w:val="both"/>
              <w:rPr>
                <w:rFonts w:ascii="Calibri" w:eastAsia="Times New Roman" w:hAnsi="Calibri" w:cs="Times New Roman"/>
                <w:color w:val="000000"/>
              </w:rPr>
            </w:pPr>
            <w:r w:rsidRPr="00096484">
              <w:rPr>
                <w:rFonts w:ascii="Calibri" w:eastAsia="Times New Roman" w:hAnsi="Calibri" w:cs="Times New Roman"/>
                <w:color w:val="000000"/>
              </w:rPr>
              <w:t>20</w:t>
            </w:r>
            <w:r>
              <w:rPr>
                <w:rFonts w:ascii="Calibri" w:eastAsia="Times New Roman" w:hAnsi="Calibri" w:cs="Times New Roman"/>
                <w:color w:val="000000"/>
              </w:rPr>
              <w:t>23</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F285" w14:textId="77777777" w:rsidR="006162DA" w:rsidRPr="00096484" w:rsidRDefault="006162DA" w:rsidP="005D2FA3">
            <w:pPr>
              <w:jc w:val="both"/>
              <w:rPr>
                <w:rFonts w:ascii="Calibri" w:eastAsia="Times New Roman" w:hAnsi="Calibri" w:cs="Times New Roman"/>
                <w:color w:val="000000"/>
              </w:rPr>
            </w:pPr>
            <w:r>
              <w:rPr>
                <w:rFonts w:ascii="Calibri" w:eastAsia="Times New Roman" w:hAnsi="Calibri" w:cs="Times New Roman"/>
                <w:color w:val="000000"/>
              </w:rPr>
              <w:t>40</w:t>
            </w:r>
            <w:r w:rsidRPr="00096484">
              <w:rPr>
                <w:rFonts w:ascii="Calibri" w:eastAsia="Times New Roman" w:hAnsi="Calibri" w:cs="Times New Roman"/>
                <w:color w:val="000000"/>
              </w:rPr>
              <w:t>%</w:t>
            </w:r>
            <w:r>
              <w:rPr>
                <w:rFonts w:ascii="Calibri" w:eastAsia="Times New Roman" w:hAnsi="Calibri" w:cs="Times New Roman"/>
                <w:color w:val="000000"/>
              </w:rPr>
              <w:t>*</w:t>
            </w:r>
          </w:p>
        </w:tc>
      </w:tr>
    </w:tbl>
    <w:p w14:paraId="433E8BD9" w14:textId="77777777" w:rsidR="006162DA" w:rsidRDefault="006162DA" w:rsidP="0087167C">
      <w:pPr>
        <w:jc w:val="center"/>
      </w:pPr>
      <w:r>
        <w:t>*To be reviewed annually</w:t>
      </w:r>
    </w:p>
    <w:p w14:paraId="5187E038" w14:textId="77777777" w:rsidR="0092263B" w:rsidRDefault="0092263B">
      <w:pPr>
        <w:spacing w:after="160" w:line="259" w:lineRule="auto"/>
      </w:pPr>
    </w:p>
    <w:p w14:paraId="64B19CC2" w14:textId="77777777" w:rsidR="0092263B" w:rsidRDefault="0092263B">
      <w:pPr>
        <w:spacing w:after="160" w:line="259" w:lineRule="auto"/>
      </w:pPr>
    </w:p>
    <w:p w14:paraId="0CD7A535" w14:textId="77777777" w:rsidR="0092263B" w:rsidRDefault="0092263B" w:rsidP="003136EF">
      <w:pPr>
        <w:spacing w:after="160" w:line="259" w:lineRule="auto"/>
      </w:pPr>
    </w:p>
    <w:sectPr w:rsidR="0092263B" w:rsidSect="00BD3A76">
      <w:pgSz w:w="12240" w:h="15840"/>
      <w:pgMar w:top="1080" w:right="36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4466" w14:textId="77777777" w:rsidR="005F1AA9" w:rsidRDefault="005F1AA9" w:rsidP="00B74B8C">
      <w:r>
        <w:separator/>
      </w:r>
    </w:p>
  </w:endnote>
  <w:endnote w:type="continuationSeparator" w:id="0">
    <w:p w14:paraId="0EC0B647" w14:textId="77777777" w:rsidR="005F1AA9" w:rsidRDefault="005F1AA9" w:rsidP="00B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E1DA" w14:textId="03C72168" w:rsidR="00E6331A" w:rsidRPr="00E6331A" w:rsidRDefault="00E6331A">
    <w:pPr>
      <w:pStyle w:val="Footer"/>
      <w:rPr>
        <w:sz w:val="22"/>
        <w:szCs w:val="22"/>
      </w:rPr>
    </w:pPr>
    <w:r w:rsidRPr="00E6331A">
      <w:rPr>
        <w:sz w:val="22"/>
        <w:szCs w:val="22"/>
      </w:rPr>
      <w:t>A</w:t>
    </w:r>
    <w:r w:rsidR="00C1413F">
      <w:rPr>
        <w:sz w:val="22"/>
        <w:szCs w:val="22"/>
      </w:rPr>
      <w:t>O</w:t>
    </w:r>
    <w:r w:rsidRPr="00E6331A">
      <w:rPr>
        <w:sz w:val="22"/>
        <w:szCs w:val="22"/>
      </w:rPr>
      <w:t xml:space="preserve">S </w:t>
    </w:r>
    <w:r w:rsidR="00C1413F">
      <w:rPr>
        <w:sz w:val="22"/>
        <w:szCs w:val="22"/>
      </w:rPr>
      <w:t>Culinary Arts</w:t>
    </w:r>
    <w:r w:rsidRPr="00E6331A">
      <w:rPr>
        <w:sz w:val="22"/>
        <w:szCs w:val="22"/>
      </w:rPr>
      <w:tab/>
    </w:r>
    <w:sdt>
      <w:sdtPr>
        <w:rPr>
          <w:sz w:val="22"/>
          <w:szCs w:val="22"/>
        </w:rPr>
        <w:id w:val="-366671086"/>
        <w:docPartObj>
          <w:docPartGallery w:val="Page Numbers (Bottom of Page)"/>
          <w:docPartUnique/>
        </w:docPartObj>
      </w:sdtPr>
      <w:sdtEndPr>
        <w:rPr>
          <w:noProof/>
        </w:rPr>
      </w:sdtEndPr>
      <w:sdtContent>
        <w:r w:rsidRPr="00E6331A">
          <w:rPr>
            <w:sz w:val="22"/>
            <w:szCs w:val="22"/>
          </w:rPr>
          <w:fldChar w:fldCharType="begin"/>
        </w:r>
        <w:r w:rsidRPr="00E6331A">
          <w:rPr>
            <w:sz w:val="22"/>
            <w:szCs w:val="22"/>
          </w:rPr>
          <w:instrText xml:space="preserve"> PAGE   \* MERGEFORMAT </w:instrText>
        </w:r>
        <w:r w:rsidRPr="00E6331A">
          <w:rPr>
            <w:sz w:val="22"/>
            <w:szCs w:val="22"/>
          </w:rPr>
          <w:fldChar w:fldCharType="separate"/>
        </w:r>
        <w:r w:rsidR="00EA3DF0">
          <w:rPr>
            <w:noProof/>
            <w:sz w:val="22"/>
            <w:szCs w:val="22"/>
          </w:rPr>
          <w:t>2</w:t>
        </w:r>
        <w:r w:rsidRPr="00E6331A">
          <w:rPr>
            <w:noProof/>
            <w:sz w:val="22"/>
            <w:szCs w:val="22"/>
          </w:rPr>
          <w:fldChar w:fldCharType="end"/>
        </w:r>
        <w:r w:rsidR="00B0211E">
          <w:rPr>
            <w:noProof/>
            <w:sz w:val="22"/>
            <w:szCs w:val="22"/>
          </w:rPr>
          <w:tab/>
        </w:r>
        <w:r w:rsidR="004E67A3">
          <w:rPr>
            <w:noProof/>
            <w:sz w:val="22"/>
            <w:szCs w:val="22"/>
          </w:rPr>
          <w:t>2-</w:t>
        </w:r>
        <w:r w:rsidR="00BA43BB">
          <w:rPr>
            <w:noProof/>
            <w:sz w:val="22"/>
            <w:szCs w:val="22"/>
          </w:rPr>
          <w:t>2</w:t>
        </w:r>
        <w:r w:rsidR="00352A4F">
          <w:rPr>
            <w:noProof/>
            <w:sz w:val="22"/>
            <w:szCs w:val="22"/>
          </w:rPr>
          <w:t>7</w:t>
        </w:r>
        <w:r w:rsidR="00B55C85">
          <w:rPr>
            <w:noProof/>
            <w:sz w:val="22"/>
            <w:szCs w:val="2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3F2B" w14:textId="77777777" w:rsidR="005F1AA9" w:rsidRDefault="005F1AA9" w:rsidP="00B74B8C">
      <w:r>
        <w:separator/>
      </w:r>
    </w:p>
  </w:footnote>
  <w:footnote w:type="continuationSeparator" w:id="0">
    <w:p w14:paraId="58F7B52D" w14:textId="77777777" w:rsidR="005F1AA9" w:rsidRDefault="005F1AA9" w:rsidP="00B7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7C5B"/>
    <w:multiLevelType w:val="hybridMultilevel"/>
    <w:tmpl w:val="A878B5C2"/>
    <w:lvl w:ilvl="0" w:tplc="4CD4E12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961F8"/>
    <w:multiLevelType w:val="hybridMultilevel"/>
    <w:tmpl w:val="73A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85A4F"/>
    <w:multiLevelType w:val="hybridMultilevel"/>
    <w:tmpl w:val="372858DC"/>
    <w:lvl w:ilvl="0" w:tplc="00000001">
      <w:start w:val="1"/>
      <w:numFmt w:val="upperRoman"/>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57777F"/>
    <w:multiLevelType w:val="hybridMultilevel"/>
    <w:tmpl w:val="4BAA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51D31"/>
    <w:multiLevelType w:val="hybridMultilevel"/>
    <w:tmpl w:val="1E088B3C"/>
    <w:lvl w:ilvl="0" w:tplc="2B328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407B1"/>
    <w:multiLevelType w:val="hybridMultilevel"/>
    <w:tmpl w:val="7F4AB5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C33A9"/>
    <w:multiLevelType w:val="hybridMultilevel"/>
    <w:tmpl w:val="0988F1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8F05736"/>
    <w:multiLevelType w:val="multilevel"/>
    <w:tmpl w:val="0E4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E25C8"/>
    <w:multiLevelType w:val="multilevel"/>
    <w:tmpl w:val="5AC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C3EF9"/>
    <w:multiLevelType w:val="hybridMultilevel"/>
    <w:tmpl w:val="EACE67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0"/>
  </w:num>
  <w:num w:numId="6">
    <w:abstractNumId w:val="4"/>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39"/>
    <w:rsid w:val="000125A0"/>
    <w:rsid w:val="00013F5B"/>
    <w:rsid w:val="00014DC7"/>
    <w:rsid w:val="00023022"/>
    <w:rsid w:val="00023E3D"/>
    <w:rsid w:val="00032FAA"/>
    <w:rsid w:val="00037727"/>
    <w:rsid w:val="00047B8B"/>
    <w:rsid w:val="00051696"/>
    <w:rsid w:val="00064C87"/>
    <w:rsid w:val="00065B35"/>
    <w:rsid w:val="000718D2"/>
    <w:rsid w:val="00072356"/>
    <w:rsid w:val="0008050D"/>
    <w:rsid w:val="0009568D"/>
    <w:rsid w:val="000B22B1"/>
    <w:rsid w:val="000C4DA0"/>
    <w:rsid w:val="000D20B2"/>
    <w:rsid w:val="000D22BC"/>
    <w:rsid w:val="000D680A"/>
    <w:rsid w:val="000E3165"/>
    <w:rsid w:val="000F2C4B"/>
    <w:rsid w:val="000F52F0"/>
    <w:rsid w:val="001062FB"/>
    <w:rsid w:val="001068A7"/>
    <w:rsid w:val="0011382E"/>
    <w:rsid w:val="00121DF0"/>
    <w:rsid w:val="00126618"/>
    <w:rsid w:val="00133D8A"/>
    <w:rsid w:val="001431BF"/>
    <w:rsid w:val="0014447E"/>
    <w:rsid w:val="00147D8A"/>
    <w:rsid w:val="00165C96"/>
    <w:rsid w:val="0018483C"/>
    <w:rsid w:val="001947A0"/>
    <w:rsid w:val="00197EF8"/>
    <w:rsid w:val="001B5B93"/>
    <w:rsid w:val="001B7C18"/>
    <w:rsid w:val="001D025F"/>
    <w:rsid w:val="001D45A0"/>
    <w:rsid w:val="001E37AA"/>
    <w:rsid w:val="001F164E"/>
    <w:rsid w:val="00203B2F"/>
    <w:rsid w:val="00205493"/>
    <w:rsid w:val="00206CC9"/>
    <w:rsid w:val="00211CCC"/>
    <w:rsid w:val="002136F8"/>
    <w:rsid w:val="002149F5"/>
    <w:rsid w:val="002325AB"/>
    <w:rsid w:val="00232D2E"/>
    <w:rsid w:val="00241B11"/>
    <w:rsid w:val="00247350"/>
    <w:rsid w:val="00252529"/>
    <w:rsid w:val="002526D5"/>
    <w:rsid w:val="00253AA2"/>
    <w:rsid w:val="002545FF"/>
    <w:rsid w:val="00267258"/>
    <w:rsid w:val="002726E9"/>
    <w:rsid w:val="00285824"/>
    <w:rsid w:val="002A0C8A"/>
    <w:rsid w:val="002A48CB"/>
    <w:rsid w:val="002B2EC1"/>
    <w:rsid w:val="002B5DAC"/>
    <w:rsid w:val="002C40CA"/>
    <w:rsid w:val="002E05CC"/>
    <w:rsid w:val="002E5B25"/>
    <w:rsid w:val="002E71EA"/>
    <w:rsid w:val="002F0760"/>
    <w:rsid w:val="003029A8"/>
    <w:rsid w:val="0030640B"/>
    <w:rsid w:val="003136EF"/>
    <w:rsid w:val="00316DBD"/>
    <w:rsid w:val="003213FA"/>
    <w:rsid w:val="00322192"/>
    <w:rsid w:val="003241EA"/>
    <w:rsid w:val="00330CB6"/>
    <w:rsid w:val="00332FE5"/>
    <w:rsid w:val="003359C6"/>
    <w:rsid w:val="00335FA5"/>
    <w:rsid w:val="00341D3D"/>
    <w:rsid w:val="003448F2"/>
    <w:rsid w:val="00352A4F"/>
    <w:rsid w:val="0035711D"/>
    <w:rsid w:val="00361CB0"/>
    <w:rsid w:val="003620A9"/>
    <w:rsid w:val="003622B6"/>
    <w:rsid w:val="00364F4F"/>
    <w:rsid w:val="0039677E"/>
    <w:rsid w:val="003B3692"/>
    <w:rsid w:val="003B7DBD"/>
    <w:rsid w:val="003C16E3"/>
    <w:rsid w:val="003C2701"/>
    <w:rsid w:val="003D5162"/>
    <w:rsid w:val="003D58F4"/>
    <w:rsid w:val="003D6F4B"/>
    <w:rsid w:val="003F018B"/>
    <w:rsid w:val="003F0C7B"/>
    <w:rsid w:val="003F1CDD"/>
    <w:rsid w:val="003F537B"/>
    <w:rsid w:val="0040415F"/>
    <w:rsid w:val="0040734E"/>
    <w:rsid w:val="00417D04"/>
    <w:rsid w:val="00422AE0"/>
    <w:rsid w:val="00424C70"/>
    <w:rsid w:val="00430765"/>
    <w:rsid w:val="004340AB"/>
    <w:rsid w:val="00434A63"/>
    <w:rsid w:val="00460B9D"/>
    <w:rsid w:val="00474735"/>
    <w:rsid w:val="004A6DD4"/>
    <w:rsid w:val="004B372A"/>
    <w:rsid w:val="004C01FE"/>
    <w:rsid w:val="004C30C8"/>
    <w:rsid w:val="004E0AD9"/>
    <w:rsid w:val="004E67A3"/>
    <w:rsid w:val="004F6FBC"/>
    <w:rsid w:val="00505BA6"/>
    <w:rsid w:val="00512994"/>
    <w:rsid w:val="0051660D"/>
    <w:rsid w:val="005224FF"/>
    <w:rsid w:val="00533C3B"/>
    <w:rsid w:val="005509CE"/>
    <w:rsid w:val="00555200"/>
    <w:rsid w:val="0056728D"/>
    <w:rsid w:val="00567F69"/>
    <w:rsid w:val="00570A62"/>
    <w:rsid w:val="0058350F"/>
    <w:rsid w:val="005933F9"/>
    <w:rsid w:val="00594DDF"/>
    <w:rsid w:val="005A35E4"/>
    <w:rsid w:val="005A7223"/>
    <w:rsid w:val="005C1667"/>
    <w:rsid w:val="005C1C39"/>
    <w:rsid w:val="005D0916"/>
    <w:rsid w:val="005D5202"/>
    <w:rsid w:val="005D55AB"/>
    <w:rsid w:val="005F1AA9"/>
    <w:rsid w:val="005F2FEF"/>
    <w:rsid w:val="0061189F"/>
    <w:rsid w:val="006162DA"/>
    <w:rsid w:val="00622B15"/>
    <w:rsid w:val="00633817"/>
    <w:rsid w:val="0063533A"/>
    <w:rsid w:val="00654E6E"/>
    <w:rsid w:val="0065683A"/>
    <w:rsid w:val="006776C3"/>
    <w:rsid w:val="006844F5"/>
    <w:rsid w:val="00685B2E"/>
    <w:rsid w:val="00695DC4"/>
    <w:rsid w:val="006B093C"/>
    <w:rsid w:val="006B0C43"/>
    <w:rsid w:val="006B27D1"/>
    <w:rsid w:val="006B3666"/>
    <w:rsid w:val="006B7102"/>
    <w:rsid w:val="006C2043"/>
    <w:rsid w:val="006C3B9C"/>
    <w:rsid w:val="006C420D"/>
    <w:rsid w:val="006D6BDC"/>
    <w:rsid w:val="006E2E87"/>
    <w:rsid w:val="006F0B39"/>
    <w:rsid w:val="006F1E59"/>
    <w:rsid w:val="006F3EC0"/>
    <w:rsid w:val="006F456C"/>
    <w:rsid w:val="006F54AC"/>
    <w:rsid w:val="007047CB"/>
    <w:rsid w:val="00711DB8"/>
    <w:rsid w:val="00713174"/>
    <w:rsid w:val="00725AB7"/>
    <w:rsid w:val="007302DE"/>
    <w:rsid w:val="0073439E"/>
    <w:rsid w:val="0074380A"/>
    <w:rsid w:val="007528AD"/>
    <w:rsid w:val="00762751"/>
    <w:rsid w:val="00764A76"/>
    <w:rsid w:val="00773222"/>
    <w:rsid w:val="0077415E"/>
    <w:rsid w:val="0078094A"/>
    <w:rsid w:val="00790577"/>
    <w:rsid w:val="007A5D94"/>
    <w:rsid w:val="007B3235"/>
    <w:rsid w:val="007B4497"/>
    <w:rsid w:val="007C2D67"/>
    <w:rsid w:val="007D5224"/>
    <w:rsid w:val="007F1468"/>
    <w:rsid w:val="007F7069"/>
    <w:rsid w:val="00800B2D"/>
    <w:rsid w:val="00821E6F"/>
    <w:rsid w:val="008333FA"/>
    <w:rsid w:val="00837592"/>
    <w:rsid w:val="00837BC5"/>
    <w:rsid w:val="00843C4C"/>
    <w:rsid w:val="00850845"/>
    <w:rsid w:val="0085327D"/>
    <w:rsid w:val="00853AD9"/>
    <w:rsid w:val="00856EB3"/>
    <w:rsid w:val="0085716D"/>
    <w:rsid w:val="00863826"/>
    <w:rsid w:val="0086631A"/>
    <w:rsid w:val="0087167C"/>
    <w:rsid w:val="008739DA"/>
    <w:rsid w:val="00874A75"/>
    <w:rsid w:val="00874F02"/>
    <w:rsid w:val="0088458C"/>
    <w:rsid w:val="00887DCD"/>
    <w:rsid w:val="00894CE9"/>
    <w:rsid w:val="008A021F"/>
    <w:rsid w:val="008A1FBA"/>
    <w:rsid w:val="008A6DCC"/>
    <w:rsid w:val="008B1232"/>
    <w:rsid w:val="008B7F13"/>
    <w:rsid w:val="008D404C"/>
    <w:rsid w:val="008D40BE"/>
    <w:rsid w:val="008F0CBB"/>
    <w:rsid w:val="008F3724"/>
    <w:rsid w:val="00902E65"/>
    <w:rsid w:val="0092263B"/>
    <w:rsid w:val="00945C5D"/>
    <w:rsid w:val="00951B88"/>
    <w:rsid w:val="00966AB5"/>
    <w:rsid w:val="009737EA"/>
    <w:rsid w:val="00977118"/>
    <w:rsid w:val="009817A4"/>
    <w:rsid w:val="009874D6"/>
    <w:rsid w:val="009901A6"/>
    <w:rsid w:val="00993B04"/>
    <w:rsid w:val="009B766A"/>
    <w:rsid w:val="009C01D0"/>
    <w:rsid w:val="009C73FC"/>
    <w:rsid w:val="009C7F58"/>
    <w:rsid w:val="009F1A34"/>
    <w:rsid w:val="009F27D9"/>
    <w:rsid w:val="00A0259E"/>
    <w:rsid w:val="00A0492A"/>
    <w:rsid w:val="00A04D29"/>
    <w:rsid w:val="00A0638D"/>
    <w:rsid w:val="00A06A56"/>
    <w:rsid w:val="00A12168"/>
    <w:rsid w:val="00A16FA0"/>
    <w:rsid w:val="00A2273F"/>
    <w:rsid w:val="00A24169"/>
    <w:rsid w:val="00A31B51"/>
    <w:rsid w:val="00A35929"/>
    <w:rsid w:val="00A37440"/>
    <w:rsid w:val="00A37EE8"/>
    <w:rsid w:val="00A4102B"/>
    <w:rsid w:val="00A50216"/>
    <w:rsid w:val="00A5431E"/>
    <w:rsid w:val="00A57396"/>
    <w:rsid w:val="00A632AE"/>
    <w:rsid w:val="00A66452"/>
    <w:rsid w:val="00A70999"/>
    <w:rsid w:val="00A734AF"/>
    <w:rsid w:val="00A82F4E"/>
    <w:rsid w:val="00A8512C"/>
    <w:rsid w:val="00A85594"/>
    <w:rsid w:val="00A924A0"/>
    <w:rsid w:val="00AA2D6E"/>
    <w:rsid w:val="00AA40B9"/>
    <w:rsid w:val="00AC3717"/>
    <w:rsid w:val="00AD01DF"/>
    <w:rsid w:val="00AE08B9"/>
    <w:rsid w:val="00AE1925"/>
    <w:rsid w:val="00AE56AF"/>
    <w:rsid w:val="00AF34B4"/>
    <w:rsid w:val="00AF611E"/>
    <w:rsid w:val="00B0211E"/>
    <w:rsid w:val="00B02E66"/>
    <w:rsid w:val="00B136F5"/>
    <w:rsid w:val="00B3108D"/>
    <w:rsid w:val="00B310F4"/>
    <w:rsid w:val="00B341DB"/>
    <w:rsid w:val="00B43BE1"/>
    <w:rsid w:val="00B55C85"/>
    <w:rsid w:val="00B63C91"/>
    <w:rsid w:val="00B731A6"/>
    <w:rsid w:val="00B74B8C"/>
    <w:rsid w:val="00BA43BB"/>
    <w:rsid w:val="00BA5105"/>
    <w:rsid w:val="00BA5329"/>
    <w:rsid w:val="00BA70BA"/>
    <w:rsid w:val="00BB0F0D"/>
    <w:rsid w:val="00BB1EB1"/>
    <w:rsid w:val="00BC06E5"/>
    <w:rsid w:val="00BC4C78"/>
    <w:rsid w:val="00BD3A76"/>
    <w:rsid w:val="00BE05A8"/>
    <w:rsid w:val="00C00E24"/>
    <w:rsid w:val="00C063D5"/>
    <w:rsid w:val="00C06E10"/>
    <w:rsid w:val="00C1413F"/>
    <w:rsid w:val="00C203E6"/>
    <w:rsid w:val="00C34D54"/>
    <w:rsid w:val="00C44734"/>
    <w:rsid w:val="00C464D9"/>
    <w:rsid w:val="00C56713"/>
    <w:rsid w:val="00C65266"/>
    <w:rsid w:val="00C713EB"/>
    <w:rsid w:val="00C74372"/>
    <w:rsid w:val="00C760DE"/>
    <w:rsid w:val="00C85C5F"/>
    <w:rsid w:val="00C87AB0"/>
    <w:rsid w:val="00C90828"/>
    <w:rsid w:val="00C91805"/>
    <w:rsid w:val="00C93254"/>
    <w:rsid w:val="00C97220"/>
    <w:rsid w:val="00CA0E74"/>
    <w:rsid w:val="00CB51AD"/>
    <w:rsid w:val="00CB6771"/>
    <w:rsid w:val="00CD1261"/>
    <w:rsid w:val="00CF031A"/>
    <w:rsid w:val="00CF08D5"/>
    <w:rsid w:val="00D16728"/>
    <w:rsid w:val="00D202D4"/>
    <w:rsid w:val="00D204B7"/>
    <w:rsid w:val="00D224D2"/>
    <w:rsid w:val="00D528AB"/>
    <w:rsid w:val="00D53703"/>
    <w:rsid w:val="00D67675"/>
    <w:rsid w:val="00D81318"/>
    <w:rsid w:val="00DA2F73"/>
    <w:rsid w:val="00DB1F88"/>
    <w:rsid w:val="00DD263E"/>
    <w:rsid w:val="00DD5348"/>
    <w:rsid w:val="00DE674B"/>
    <w:rsid w:val="00E01614"/>
    <w:rsid w:val="00E14858"/>
    <w:rsid w:val="00E17884"/>
    <w:rsid w:val="00E229BD"/>
    <w:rsid w:val="00E22CC2"/>
    <w:rsid w:val="00E23BDC"/>
    <w:rsid w:val="00E318B6"/>
    <w:rsid w:val="00E41E01"/>
    <w:rsid w:val="00E60C60"/>
    <w:rsid w:val="00E6331A"/>
    <w:rsid w:val="00E64A56"/>
    <w:rsid w:val="00E672D9"/>
    <w:rsid w:val="00E864EB"/>
    <w:rsid w:val="00E938B1"/>
    <w:rsid w:val="00E966E4"/>
    <w:rsid w:val="00EA3DF0"/>
    <w:rsid w:val="00EC0068"/>
    <w:rsid w:val="00EC26DE"/>
    <w:rsid w:val="00ED0B07"/>
    <w:rsid w:val="00ED3C87"/>
    <w:rsid w:val="00EE0854"/>
    <w:rsid w:val="00EE6E7F"/>
    <w:rsid w:val="00EF4D39"/>
    <w:rsid w:val="00F4126B"/>
    <w:rsid w:val="00F46F48"/>
    <w:rsid w:val="00F54EEC"/>
    <w:rsid w:val="00F55532"/>
    <w:rsid w:val="00F603CB"/>
    <w:rsid w:val="00F90FD0"/>
    <w:rsid w:val="00F918DF"/>
    <w:rsid w:val="00FA45B7"/>
    <w:rsid w:val="00FA7B64"/>
    <w:rsid w:val="00FB3FB1"/>
    <w:rsid w:val="00FC65EF"/>
    <w:rsid w:val="00FD2C60"/>
    <w:rsid w:val="00FD4A8D"/>
    <w:rsid w:val="00FE5E2F"/>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FD79"/>
  <w15:chartTrackingRefBased/>
  <w15:docId w15:val="{CD396216-8E37-48DF-A674-0892F24C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39"/>
    <w:pPr>
      <w:spacing w:after="0" w:line="240" w:lineRule="auto"/>
    </w:pPr>
    <w:rPr>
      <w:rFonts w:eastAsiaTheme="minorEastAsia"/>
      <w:sz w:val="24"/>
      <w:szCs w:val="24"/>
      <w:lang w:eastAsia="ja-JP"/>
    </w:rPr>
  </w:style>
  <w:style w:type="paragraph" w:styleId="Heading2">
    <w:name w:val="heading 2"/>
    <w:basedOn w:val="Normal"/>
    <w:next w:val="Normal"/>
    <w:link w:val="Heading2Char"/>
    <w:uiPriority w:val="9"/>
    <w:unhideWhenUsed/>
    <w:qFormat/>
    <w:rsid w:val="006F0B3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B39"/>
    <w:rPr>
      <w:rFonts w:asciiTheme="majorHAnsi" w:eastAsiaTheme="majorEastAsia" w:hAnsiTheme="majorHAnsi" w:cstheme="majorBidi"/>
      <w:b/>
      <w:bCs/>
      <w:color w:val="5B9BD5" w:themeColor="accent1"/>
      <w:sz w:val="26"/>
      <w:szCs w:val="26"/>
      <w:lang w:eastAsia="ja-JP"/>
    </w:rPr>
  </w:style>
  <w:style w:type="paragraph" w:styleId="ListParagraph">
    <w:name w:val="List Paragraph"/>
    <w:basedOn w:val="Normal"/>
    <w:uiPriority w:val="34"/>
    <w:qFormat/>
    <w:rsid w:val="006E2E87"/>
    <w:pPr>
      <w:spacing w:after="160" w:line="259"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B74B8C"/>
    <w:pPr>
      <w:tabs>
        <w:tab w:val="center" w:pos="4680"/>
        <w:tab w:val="right" w:pos="9360"/>
      </w:tabs>
    </w:pPr>
  </w:style>
  <w:style w:type="character" w:customStyle="1" w:styleId="HeaderChar">
    <w:name w:val="Header Char"/>
    <w:basedOn w:val="DefaultParagraphFont"/>
    <w:link w:val="Header"/>
    <w:uiPriority w:val="99"/>
    <w:rsid w:val="00B74B8C"/>
    <w:rPr>
      <w:rFonts w:eastAsiaTheme="minorEastAsia"/>
      <w:sz w:val="24"/>
      <w:szCs w:val="24"/>
      <w:lang w:eastAsia="ja-JP"/>
    </w:rPr>
  </w:style>
  <w:style w:type="paragraph" w:styleId="Footer">
    <w:name w:val="footer"/>
    <w:basedOn w:val="Normal"/>
    <w:link w:val="FooterChar"/>
    <w:uiPriority w:val="99"/>
    <w:unhideWhenUsed/>
    <w:rsid w:val="00B74B8C"/>
    <w:pPr>
      <w:tabs>
        <w:tab w:val="center" w:pos="4680"/>
        <w:tab w:val="right" w:pos="9360"/>
      </w:tabs>
    </w:pPr>
  </w:style>
  <w:style w:type="character" w:customStyle="1" w:styleId="FooterChar">
    <w:name w:val="Footer Char"/>
    <w:basedOn w:val="DefaultParagraphFont"/>
    <w:link w:val="Footer"/>
    <w:uiPriority w:val="99"/>
    <w:rsid w:val="00B74B8C"/>
    <w:rPr>
      <w:rFonts w:eastAsiaTheme="minorEastAsia"/>
      <w:sz w:val="24"/>
      <w:szCs w:val="24"/>
      <w:lang w:eastAsia="ja-JP"/>
    </w:rPr>
  </w:style>
  <w:style w:type="paragraph" w:customStyle="1" w:styleId="Body">
    <w:name w:val="Body"/>
    <w:rsid w:val="009C7F58"/>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9C7F5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5A8"/>
    <w:rPr>
      <w:b/>
      <w:bCs/>
    </w:rPr>
  </w:style>
  <w:style w:type="character" w:styleId="Hyperlink">
    <w:name w:val="Hyperlink"/>
    <w:basedOn w:val="DefaultParagraphFont"/>
    <w:uiPriority w:val="99"/>
    <w:unhideWhenUsed/>
    <w:rsid w:val="00762751"/>
    <w:rPr>
      <w:color w:val="0563C1" w:themeColor="hyperlink"/>
      <w:u w:val="single"/>
    </w:rPr>
  </w:style>
  <w:style w:type="paragraph" w:styleId="BalloonText">
    <w:name w:val="Balloon Text"/>
    <w:basedOn w:val="Normal"/>
    <w:link w:val="BalloonTextChar"/>
    <w:uiPriority w:val="99"/>
    <w:semiHidden/>
    <w:unhideWhenUsed/>
    <w:rsid w:val="00430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65"/>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9817A4"/>
  </w:style>
  <w:style w:type="character" w:customStyle="1" w:styleId="articlecontent">
    <w:name w:val="article_content"/>
    <w:basedOn w:val="DefaultParagraphFont"/>
    <w:rsid w:val="00014DC7"/>
  </w:style>
  <w:style w:type="paragraph" w:styleId="NormalWeb">
    <w:name w:val="Normal (Web)"/>
    <w:basedOn w:val="Normal"/>
    <w:uiPriority w:val="99"/>
    <w:unhideWhenUsed/>
    <w:rsid w:val="00014DC7"/>
    <w:pPr>
      <w:spacing w:before="100" w:beforeAutospacing="1" w:after="100" w:afterAutospacing="1"/>
    </w:pPr>
    <w:rPr>
      <w:rFonts w:ascii="Times New Roman" w:eastAsia="Times New Roman" w:hAnsi="Times New Roman" w:cs="Times New Roman"/>
      <w:lang w:eastAsia="en-US"/>
    </w:rPr>
  </w:style>
  <w:style w:type="character" w:customStyle="1" w:styleId="pslongeditbox">
    <w:name w:val="pslongeditbox"/>
    <w:basedOn w:val="DefaultParagraphFont"/>
    <w:rsid w:val="00F54EEC"/>
  </w:style>
  <w:style w:type="character" w:styleId="FollowedHyperlink">
    <w:name w:val="FollowedHyperlink"/>
    <w:basedOn w:val="DefaultParagraphFont"/>
    <w:uiPriority w:val="99"/>
    <w:semiHidden/>
    <w:unhideWhenUsed/>
    <w:rsid w:val="000C4DA0"/>
    <w:rPr>
      <w:color w:val="954F72" w:themeColor="followedHyperlink"/>
      <w:u w:val="single"/>
    </w:rPr>
  </w:style>
  <w:style w:type="character" w:styleId="CommentReference">
    <w:name w:val="annotation reference"/>
    <w:basedOn w:val="DefaultParagraphFont"/>
    <w:uiPriority w:val="99"/>
    <w:semiHidden/>
    <w:unhideWhenUsed/>
    <w:rsid w:val="00837592"/>
    <w:rPr>
      <w:sz w:val="16"/>
      <w:szCs w:val="16"/>
    </w:rPr>
  </w:style>
  <w:style w:type="paragraph" w:styleId="CommentText">
    <w:name w:val="annotation text"/>
    <w:basedOn w:val="Normal"/>
    <w:link w:val="CommentTextChar"/>
    <w:uiPriority w:val="99"/>
    <w:semiHidden/>
    <w:unhideWhenUsed/>
    <w:rsid w:val="00837592"/>
    <w:rPr>
      <w:sz w:val="20"/>
      <w:szCs w:val="20"/>
    </w:rPr>
  </w:style>
  <w:style w:type="character" w:customStyle="1" w:styleId="CommentTextChar">
    <w:name w:val="Comment Text Char"/>
    <w:basedOn w:val="DefaultParagraphFont"/>
    <w:link w:val="CommentText"/>
    <w:uiPriority w:val="99"/>
    <w:semiHidden/>
    <w:rsid w:val="0083759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37592"/>
    <w:rPr>
      <w:b/>
      <w:bCs/>
    </w:rPr>
  </w:style>
  <w:style w:type="character" w:customStyle="1" w:styleId="CommentSubjectChar">
    <w:name w:val="Comment Subject Char"/>
    <w:basedOn w:val="CommentTextChar"/>
    <w:link w:val="CommentSubject"/>
    <w:uiPriority w:val="99"/>
    <w:semiHidden/>
    <w:rsid w:val="00837592"/>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289">
      <w:bodyDiv w:val="1"/>
      <w:marLeft w:val="0"/>
      <w:marRight w:val="0"/>
      <w:marTop w:val="0"/>
      <w:marBottom w:val="0"/>
      <w:divBdr>
        <w:top w:val="none" w:sz="0" w:space="0" w:color="auto"/>
        <w:left w:val="none" w:sz="0" w:space="0" w:color="auto"/>
        <w:bottom w:val="none" w:sz="0" w:space="0" w:color="auto"/>
        <w:right w:val="none" w:sz="0" w:space="0" w:color="auto"/>
      </w:divBdr>
    </w:div>
    <w:div w:id="748593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449">
          <w:marLeft w:val="0"/>
          <w:marRight w:val="0"/>
          <w:marTop w:val="0"/>
          <w:marBottom w:val="0"/>
          <w:divBdr>
            <w:top w:val="none" w:sz="0" w:space="0" w:color="auto"/>
            <w:left w:val="none" w:sz="0" w:space="0" w:color="auto"/>
            <w:bottom w:val="none" w:sz="0" w:space="0" w:color="auto"/>
            <w:right w:val="none" w:sz="0" w:space="0" w:color="auto"/>
          </w:divBdr>
          <w:divsChild>
            <w:div w:id="1268585489">
              <w:marLeft w:val="0"/>
              <w:marRight w:val="0"/>
              <w:marTop w:val="0"/>
              <w:marBottom w:val="0"/>
              <w:divBdr>
                <w:top w:val="none" w:sz="0" w:space="0" w:color="auto"/>
                <w:left w:val="none" w:sz="0" w:space="0" w:color="auto"/>
                <w:bottom w:val="none" w:sz="0" w:space="0" w:color="auto"/>
                <w:right w:val="none" w:sz="0" w:space="0" w:color="auto"/>
              </w:divBdr>
            </w:div>
            <w:div w:id="1621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554467241">
      <w:bodyDiv w:val="1"/>
      <w:marLeft w:val="0"/>
      <w:marRight w:val="0"/>
      <w:marTop w:val="0"/>
      <w:marBottom w:val="0"/>
      <w:divBdr>
        <w:top w:val="none" w:sz="0" w:space="0" w:color="auto"/>
        <w:left w:val="none" w:sz="0" w:space="0" w:color="auto"/>
        <w:bottom w:val="none" w:sz="0" w:space="0" w:color="auto"/>
        <w:right w:val="none" w:sz="0" w:space="0" w:color="auto"/>
      </w:divBdr>
    </w:div>
    <w:div w:id="675621000">
      <w:bodyDiv w:val="1"/>
      <w:marLeft w:val="0"/>
      <w:marRight w:val="0"/>
      <w:marTop w:val="0"/>
      <w:marBottom w:val="0"/>
      <w:divBdr>
        <w:top w:val="none" w:sz="0" w:space="0" w:color="auto"/>
        <w:left w:val="none" w:sz="0" w:space="0" w:color="auto"/>
        <w:bottom w:val="none" w:sz="0" w:space="0" w:color="auto"/>
        <w:right w:val="none" w:sz="0" w:space="0" w:color="auto"/>
      </w:divBdr>
    </w:div>
    <w:div w:id="1064371716">
      <w:bodyDiv w:val="1"/>
      <w:marLeft w:val="0"/>
      <w:marRight w:val="0"/>
      <w:marTop w:val="0"/>
      <w:marBottom w:val="0"/>
      <w:divBdr>
        <w:top w:val="none" w:sz="0" w:space="0" w:color="auto"/>
        <w:left w:val="none" w:sz="0" w:space="0" w:color="auto"/>
        <w:bottom w:val="none" w:sz="0" w:space="0" w:color="auto"/>
        <w:right w:val="none" w:sz="0" w:space="0" w:color="auto"/>
      </w:divBdr>
      <w:divsChild>
        <w:div w:id="1559168158">
          <w:marLeft w:val="0"/>
          <w:marRight w:val="0"/>
          <w:marTop w:val="0"/>
          <w:marBottom w:val="0"/>
          <w:divBdr>
            <w:top w:val="none" w:sz="0" w:space="0" w:color="auto"/>
            <w:left w:val="none" w:sz="0" w:space="0" w:color="auto"/>
            <w:bottom w:val="none" w:sz="0" w:space="0" w:color="auto"/>
            <w:right w:val="none" w:sz="0" w:space="0" w:color="auto"/>
          </w:divBdr>
        </w:div>
        <w:div w:id="485366764">
          <w:marLeft w:val="0"/>
          <w:marRight w:val="0"/>
          <w:marTop w:val="0"/>
          <w:marBottom w:val="0"/>
          <w:divBdr>
            <w:top w:val="none" w:sz="0" w:space="0" w:color="auto"/>
            <w:left w:val="none" w:sz="0" w:space="0" w:color="auto"/>
            <w:bottom w:val="none" w:sz="0" w:space="0" w:color="auto"/>
            <w:right w:val="none" w:sz="0" w:space="0" w:color="auto"/>
          </w:divBdr>
        </w:div>
        <w:div w:id="889652089">
          <w:marLeft w:val="0"/>
          <w:marRight w:val="0"/>
          <w:marTop w:val="0"/>
          <w:marBottom w:val="0"/>
          <w:divBdr>
            <w:top w:val="none" w:sz="0" w:space="0" w:color="auto"/>
            <w:left w:val="none" w:sz="0" w:space="0" w:color="auto"/>
            <w:bottom w:val="none" w:sz="0" w:space="0" w:color="auto"/>
            <w:right w:val="none" w:sz="0" w:space="0" w:color="auto"/>
          </w:divBdr>
        </w:div>
        <w:div w:id="851528317">
          <w:marLeft w:val="0"/>
          <w:marRight w:val="0"/>
          <w:marTop w:val="0"/>
          <w:marBottom w:val="0"/>
          <w:divBdr>
            <w:top w:val="none" w:sz="0" w:space="0" w:color="auto"/>
            <w:left w:val="none" w:sz="0" w:space="0" w:color="auto"/>
            <w:bottom w:val="none" w:sz="0" w:space="0" w:color="auto"/>
            <w:right w:val="none" w:sz="0" w:space="0" w:color="auto"/>
          </w:divBdr>
        </w:div>
        <w:div w:id="1025517728">
          <w:marLeft w:val="0"/>
          <w:marRight w:val="0"/>
          <w:marTop w:val="0"/>
          <w:marBottom w:val="0"/>
          <w:divBdr>
            <w:top w:val="none" w:sz="0" w:space="0" w:color="auto"/>
            <w:left w:val="none" w:sz="0" w:space="0" w:color="auto"/>
            <w:bottom w:val="none" w:sz="0" w:space="0" w:color="auto"/>
            <w:right w:val="none" w:sz="0" w:space="0" w:color="auto"/>
          </w:divBdr>
        </w:div>
        <w:div w:id="265506681">
          <w:marLeft w:val="0"/>
          <w:marRight w:val="0"/>
          <w:marTop w:val="0"/>
          <w:marBottom w:val="0"/>
          <w:divBdr>
            <w:top w:val="none" w:sz="0" w:space="0" w:color="auto"/>
            <w:left w:val="none" w:sz="0" w:space="0" w:color="auto"/>
            <w:bottom w:val="none" w:sz="0" w:space="0" w:color="auto"/>
            <w:right w:val="none" w:sz="0" w:space="0" w:color="auto"/>
          </w:divBdr>
        </w:div>
        <w:div w:id="2040352646">
          <w:marLeft w:val="0"/>
          <w:marRight w:val="0"/>
          <w:marTop w:val="0"/>
          <w:marBottom w:val="0"/>
          <w:divBdr>
            <w:top w:val="none" w:sz="0" w:space="0" w:color="auto"/>
            <w:left w:val="none" w:sz="0" w:space="0" w:color="auto"/>
            <w:bottom w:val="none" w:sz="0" w:space="0" w:color="auto"/>
            <w:right w:val="none" w:sz="0" w:space="0" w:color="auto"/>
          </w:divBdr>
        </w:div>
        <w:div w:id="1882395674">
          <w:marLeft w:val="0"/>
          <w:marRight w:val="0"/>
          <w:marTop w:val="0"/>
          <w:marBottom w:val="0"/>
          <w:divBdr>
            <w:top w:val="none" w:sz="0" w:space="0" w:color="auto"/>
            <w:left w:val="none" w:sz="0" w:space="0" w:color="auto"/>
            <w:bottom w:val="none" w:sz="0" w:space="0" w:color="auto"/>
            <w:right w:val="none" w:sz="0" w:space="0" w:color="auto"/>
          </w:divBdr>
        </w:div>
        <w:div w:id="980422167">
          <w:marLeft w:val="0"/>
          <w:marRight w:val="0"/>
          <w:marTop w:val="0"/>
          <w:marBottom w:val="0"/>
          <w:divBdr>
            <w:top w:val="none" w:sz="0" w:space="0" w:color="auto"/>
            <w:left w:val="none" w:sz="0" w:space="0" w:color="auto"/>
            <w:bottom w:val="none" w:sz="0" w:space="0" w:color="auto"/>
            <w:right w:val="none" w:sz="0" w:space="0" w:color="auto"/>
          </w:divBdr>
        </w:div>
        <w:div w:id="243420123">
          <w:marLeft w:val="0"/>
          <w:marRight w:val="0"/>
          <w:marTop w:val="0"/>
          <w:marBottom w:val="0"/>
          <w:divBdr>
            <w:top w:val="none" w:sz="0" w:space="0" w:color="auto"/>
            <w:left w:val="none" w:sz="0" w:space="0" w:color="auto"/>
            <w:bottom w:val="none" w:sz="0" w:space="0" w:color="auto"/>
            <w:right w:val="none" w:sz="0" w:space="0" w:color="auto"/>
          </w:divBdr>
        </w:div>
      </w:divsChild>
    </w:div>
    <w:div w:id="1417046913">
      <w:bodyDiv w:val="1"/>
      <w:marLeft w:val="0"/>
      <w:marRight w:val="0"/>
      <w:marTop w:val="0"/>
      <w:marBottom w:val="0"/>
      <w:divBdr>
        <w:top w:val="none" w:sz="0" w:space="0" w:color="auto"/>
        <w:left w:val="none" w:sz="0" w:space="0" w:color="auto"/>
        <w:bottom w:val="none" w:sz="0" w:space="0" w:color="auto"/>
        <w:right w:val="none" w:sz="0" w:space="0" w:color="auto"/>
      </w:divBdr>
    </w:div>
    <w:div w:id="19189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rg/news/shortage-of-skills-the-culinary-sec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food-preparation-and-serving/cooks.htm%23tab-6" TargetMode="External"/><Relationship Id="rId5" Type="http://schemas.openxmlformats.org/officeDocument/2006/relationships/webSettings" Target="webSettings.xml"/><Relationship Id="rId10" Type="http://schemas.openxmlformats.org/officeDocument/2006/relationships/hyperlink" Target="http://www.restaurant.org/News-Research/Research/Facts-at-a-Glance" TargetMode="External"/><Relationship Id="rId4" Type="http://schemas.openxmlformats.org/officeDocument/2006/relationships/settings" Target="settings.xml"/><Relationship Id="rId9" Type="http://schemas.openxmlformats.org/officeDocument/2006/relationships/hyperlink" Target="http://educationcareerarticles.com/career-information/job-market-outlook/overview-culinary-arts-job-market-outl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9D59-62E0-4F5A-AC61-507DFE06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Parker</dc:creator>
  <cp:keywords/>
  <dc:description/>
  <cp:lastModifiedBy>Marianne Gustafson</cp:lastModifiedBy>
  <cp:revision>3</cp:revision>
  <cp:lastPrinted>2017-02-15T12:50:00Z</cp:lastPrinted>
  <dcterms:created xsi:type="dcterms:W3CDTF">2017-02-27T22:46:00Z</dcterms:created>
  <dcterms:modified xsi:type="dcterms:W3CDTF">2017-02-27T22:46:00Z</dcterms:modified>
</cp:coreProperties>
</file>