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019F6" w14:textId="0D4BDF45" w:rsidR="00D00ED1" w:rsidRPr="006F59A5" w:rsidRDefault="006F59A5" w:rsidP="006F59A5">
      <w:pPr>
        <w:ind w:right="-274"/>
        <w:jc w:val="center"/>
        <w:rPr>
          <w:rFonts w:ascii="Calibri" w:hAnsi="Calibri" w:cs="Calibri"/>
          <w:sz w:val="32"/>
          <w:szCs w:val="32"/>
        </w:rPr>
      </w:pPr>
      <w:r w:rsidRPr="006F59A5">
        <w:rPr>
          <w:rFonts w:ascii="Calibri" w:hAnsi="Calibri" w:cs="Calibri"/>
          <w:sz w:val="32"/>
          <w:szCs w:val="32"/>
        </w:rPr>
        <w:t>I</w:t>
      </w:r>
      <w:r w:rsidR="00B93673" w:rsidRPr="006F59A5">
        <w:rPr>
          <w:rFonts w:ascii="Calibri" w:hAnsi="Calibri" w:cs="Calibri"/>
          <w:sz w:val="32"/>
          <w:szCs w:val="32"/>
        </w:rPr>
        <w:t xml:space="preserve">nstitutional Effectiveness </w:t>
      </w:r>
      <w:r w:rsidR="00D00ED1" w:rsidRPr="006F59A5">
        <w:rPr>
          <w:rFonts w:ascii="Calibri" w:hAnsi="Calibri" w:cs="Calibri"/>
          <w:sz w:val="32"/>
          <w:szCs w:val="32"/>
        </w:rPr>
        <w:t xml:space="preserve">Assessment </w:t>
      </w:r>
    </w:p>
    <w:p w14:paraId="3760BF05" w14:textId="77777777" w:rsidR="009779EC" w:rsidRPr="006F59A5" w:rsidRDefault="00987D73" w:rsidP="006F59A5">
      <w:pPr>
        <w:ind w:right="-274"/>
        <w:jc w:val="center"/>
        <w:rPr>
          <w:rFonts w:ascii="Calibri" w:hAnsi="Calibri" w:cs="Calibri"/>
          <w:sz w:val="32"/>
          <w:szCs w:val="32"/>
        </w:rPr>
      </w:pPr>
      <w:r w:rsidRPr="006F59A5">
        <w:rPr>
          <w:rFonts w:ascii="Calibri" w:hAnsi="Calibri" w:cs="Calibri"/>
          <w:b/>
          <w:color w:val="E36C0A"/>
          <w:sz w:val="32"/>
          <w:szCs w:val="32"/>
        </w:rPr>
        <w:t xml:space="preserve">Guidelines </w:t>
      </w:r>
      <w:r w:rsidR="00D00ED1" w:rsidRPr="006F59A5">
        <w:rPr>
          <w:rFonts w:ascii="Calibri" w:hAnsi="Calibri" w:cs="Calibri"/>
          <w:b/>
          <w:color w:val="E36C0A"/>
          <w:sz w:val="32"/>
          <w:szCs w:val="32"/>
        </w:rPr>
        <w:t xml:space="preserve">for Managers </w:t>
      </w:r>
      <w:r w:rsidR="003F6C5F" w:rsidRPr="006F59A5">
        <w:rPr>
          <w:rFonts w:ascii="Calibri" w:hAnsi="Calibri" w:cs="Calibri"/>
          <w:b/>
          <w:color w:val="E36C0A"/>
          <w:sz w:val="32"/>
          <w:szCs w:val="32"/>
        </w:rPr>
        <w:t>and Directors</w:t>
      </w:r>
    </w:p>
    <w:p w14:paraId="5BBA36BB" w14:textId="568C5996" w:rsidR="001E745A" w:rsidRPr="00EF5011" w:rsidRDefault="001E745A" w:rsidP="006F59A5">
      <w:pPr>
        <w:spacing w:before="360"/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b/>
          <w:sz w:val="25"/>
          <w:szCs w:val="25"/>
        </w:rPr>
        <w:t>Institutional Effectiveness</w:t>
      </w:r>
    </w:p>
    <w:p w14:paraId="11D27CF4" w14:textId="25129890" w:rsidR="001E745A" w:rsidRPr="00EF5011" w:rsidRDefault="001E745A" w:rsidP="001E745A">
      <w:pPr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sz w:val="25"/>
          <w:szCs w:val="25"/>
        </w:rPr>
        <w:t xml:space="preserve">Institutional effectiveness is the systematic and ongoing process of planning, making informed decisions, and allocating resources by collecting, assessing, and acting on data to </w:t>
      </w:r>
      <w:r w:rsidR="00B84777" w:rsidRPr="00EF5011">
        <w:rPr>
          <w:rFonts w:asciiTheme="minorHAnsi" w:hAnsiTheme="minorHAnsi" w:cstheme="minorHAnsi"/>
          <w:sz w:val="25"/>
          <w:szCs w:val="25"/>
        </w:rPr>
        <w:t xml:space="preserve">determine </w:t>
      </w:r>
      <w:r w:rsidRPr="00EF5011">
        <w:rPr>
          <w:rFonts w:asciiTheme="minorHAnsi" w:hAnsiTheme="minorHAnsi" w:cstheme="minorHAnsi"/>
          <w:sz w:val="25"/>
          <w:szCs w:val="25"/>
        </w:rPr>
        <w:t xml:space="preserve">how well the institution is achieving its mission and purposes. </w:t>
      </w:r>
    </w:p>
    <w:p w14:paraId="409E664A" w14:textId="4B5FEB3A" w:rsidR="001E745A" w:rsidRPr="00EF5011" w:rsidRDefault="001E745A" w:rsidP="00EF5011">
      <w:pPr>
        <w:spacing w:before="240"/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b/>
          <w:i/>
          <w:iCs/>
          <w:sz w:val="25"/>
          <w:szCs w:val="25"/>
        </w:rPr>
        <w:t>The overarching institutional effectiveness question is</w:t>
      </w:r>
      <w:r w:rsidR="00980582" w:rsidRPr="00EF5011">
        <w:rPr>
          <w:rFonts w:asciiTheme="minorHAnsi" w:hAnsiTheme="minorHAnsi" w:cstheme="minorHAnsi"/>
          <w:b/>
          <w:i/>
          <w:iCs/>
          <w:sz w:val="25"/>
          <w:szCs w:val="25"/>
        </w:rPr>
        <w:t>:</w:t>
      </w:r>
      <w:r w:rsidRPr="00EF5011">
        <w:rPr>
          <w:rFonts w:asciiTheme="minorHAnsi" w:hAnsiTheme="minorHAnsi" w:cstheme="minorHAnsi"/>
          <w:b/>
          <w:i/>
          <w:iCs/>
          <w:sz w:val="25"/>
          <w:szCs w:val="25"/>
        </w:rPr>
        <w:t xml:space="preserve"> </w:t>
      </w:r>
      <w:r w:rsidR="00B84777" w:rsidRPr="00EF5011">
        <w:rPr>
          <w:rFonts w:asciiTheme="minorHAnsi" w:hAnsiTheme="minorHAnsi" w:cstheme="minorHAnsi"/>
          <w:b/>
          <w:i/>
          <w:iCs/>
          <w:sz w:val="25"/>
          <w:szCs w:val="25"/>
        </w:rPr>
        <w:t>“H</w:t>
      </w:r>
      <w:r w:rsidRPr="00EF5011">
        <w:rPr>
          <w:rFonts w:asciiTheme="minorHAnsi" w:hAnsiTheme="minorHAnsi" w:cstheme="minorHAnsi"/>
          <w:b/>
          <w:i/>
          <w:iCs/>
          <w:sz w:val="25"/>
          <w:szCs w:val="25"/>
        </w:rPr>
        <w:t>ow well are we achieving our mission and goals?</w:t>
      </w:r>
      <w:r w:rsidR="00B84777" w:rsidRPr="00EF5011">
        <w:rPr>
          <w:rFonts w:asciiTheme="minorHAnsi" w:hAnsiTheme="minorHAnsi" w:cstheme="minorHAnsi"/>
          <w:b/>
          <w:sz w:val="25"/>
          <w:szCs w:val="25"/>
        </w:rPr>
        <w:t xml:space="preserve">” </w:t>
      </w:r>
      <w:r w:rsidRPr="00EF5011">
        <w:rPr>
          <w:rFonts w:asciiTheme="minorHAnsi" w:hAnsiTheme="minorHAnsi" w:cstheme="minorHAnsi"/>
          <w:sz w:val="25"/>
          <w:szCs w:val="25"/>
        </w:rPr>
        <w:t xml:space="preserve">The assessment of institutional effectiveness essentially involves a documented </w:t>
      </w:r>
      <w:r w:rsidRPr="00EF5011">
        <w:rPr>
          <w:rFonts w:asciiTheme="minorHAnsi" w:hAnsiTheme="minorHAnsi" w:cstheme="minorHAnsi"/>
          <w:sz w:val="25"/>
          <w:szCs w:val="25"/>
          <w:u w:val="single"/>
        </w:rPr>
        <w:t>comparison of institutional performance to institutional purpose</w:t>
      </w:r>
      <w:r w:rsidRPr="00EF5011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458BEEE2" w14:textId="3D73BBEB" w:rsidR="009779EC" w:rsidRPr="00EF5011" w:rsidRDefault="009779EC" w:rsidP="00EF5011">
      <w:pPr>
        <w:spacing w:before="240"/>
        <w:rPr>
          <w:rFonts w:asciiTheme="minorHAnsi" w:hAnsiTheme="minorHAnsi" w:cstheme="minorHAnsi"/>
          <w:b/>
          <w:sz w:val="25"/>
          <w:szCs w:val="25"/>
        </w:rPr>
      </w:pPr>
      <w:r w:rsidRPr="00EF5011">
        <w:rPr>
          <w:rFonts w:asciiTheme="minorHAnsi" w:hAnsiTheme="minorHAnsi" w:cstheme="minorHAnsi"/>
          <w:b/>
          <w:sz w:val="25"/>
          <w:szCs w:val="25"/>
        </w:rPr>
        <w:t>RIT</w:t>
      </w:r>
      <w:r w:rsidR="00B84777" w:rsidRPr="00EF5011">
        <w:rPr>
          <w:rFonts w:asciiTheme="minorHAnsi" w:hAnsiTheme="minorHAnsi" w:cstheme="minorHAnsi"/>
          <w:b/>
          <w:sz w:val="25"/>
          <w:szCs w:val="25"/>
        </w:rPr>
        <w:t>’s institutional effectiveness processes and practices are designed to:</w:t>
      </w:r>
    </w:p>
    <w:p w14:paraId="24582A7F" w14:textId="2C9EBD71" w:rsidR="009779EC" w:rsidRPr="00EF5011" w:rsidRDefault="00B84777" w:rsidP="00CC7DDB">
      <w:pPr>
        <w:pStyle w:val="ListParagraph"/>
        <w:numPr>
          <w:ilvl w:val="0"/>
          <w:numId w:val="4"/>
        </w:numPr>
        <w:ind w:left="630"/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sz w:val="25"/>
          <w:szCs w:val="25"/>
        </w:rPr>
        <w:t>D</w:t>
      </w:r>
      <w:r w:rsidR="009779EC" w:rsidRPr="00EF5011">
        <w:rPr>
          <w:rFonts w:asciiTheme="minorHAnsi" w:hAnsiTheme="minorHAnsi" w:cstheme="minorHAnsi"/>
          <w:sz w:val="25"/>
          <w:szCs w:val="25"/>
        </w:rPr>
        <w:t>emonstrate how effectively administrative units support RIT’s mission</w:t>
      </w:r>
      <w:r w:rsidRPr="00EF5011">
        <w:rPr>
          <w:rFonts w:asciiTheme="minorHAnsi" w:hAnsiTheme="minorHAnsi" w:cstheme="minorHAnsi"/>
          <w:sz w:val="25"/>
          <w:szCs w:val="25"/>
        </w:rPr>
        <w:t xml:space="preserve"> and </w:t>
      </w:r>
      <w:hyperlink r:id="rId7" w:history="1">
        <w:r w:rsidRPr="00EF5011">
          <w:rPr>
            <w:rStyle w:val="Hyperlink"/>
            <w:rFonts w:asciiTheme="minorHAnsi" w:hAnsiTheme="minorHAnsi" w:cstheme="minorHAnsi"/>
            <w:sz w:val="25"/>
            <w:szCs w:val="25"/>
          </w:rPr>
          <w:t>Strategic Plan 2018-2025, Greatness Through Difference</w:t>
        </w:r>
      </w:hyperlink>
    </w:p>
    <w:p w14:paraId="65630E2B" w14:textId="608998A4" w:rsidR="001E745A" w:rsidRPr="00EF5011" w:rsidRDefault="009779EC" w:rsidP="00CC7DDB">
      <w:pPr>
        <w:pStyle w:val="ListParagraph"/>
        <w:numPr>
          <w:ilvl w:val="0"/>
          <w:numId w:val="4"/>
        </w:numPr>
        <w:ind w:left="630"/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sz w:val="25"/>
          <w:szCs w:val="25"/>
        </w:rPr>
        <w:t>Demonstrate use of admin</w:t>
      </w:r>
      <w:r w:rsidR="001E745A" w:rsidRPr="00EF5011">
        <w:rPr>
          <w:rFonts w:asciiTheme="minorHAnsi" w:hAnsiTheme="minorHAnsi" w:cstheme="minorHAnsi"/>
          <w:sz w:val="25"/>
          <w:szCs w:val="25"/>
        </w:rPr>
        <w:t>istrative</w:t>
      </w:r>
      <w:r w:rsidRPr="00EF5011">
        <w:rPr>
          <w:rFonts w:asciiTheme="minorHAnsi" w:hAnsiTheme="minorHAnsi" w:cstheme="minorHAnsi"/>
          <w:sz w:val="25"/>
          <w:szCs w:val="25"/>
        </w:rPr>
        <w:t xml:space="preserve"> unit assessment results </w:t>
      </w:r>
      <w:r w:rsidR="00B84777" w:rsidRPr="00EF5011">
        <w:rPr>
          <w:rFonts w:asciiTheme="minorHAnsi" w:hAnsiTheme="minorHAnsi" w:cstheme="minorHAnsi"/>
          <w:sz w:val="25"/>
          <w:szCs w:val="25"/>
        </w:rPr>
        <w:t xml:space="preserve">to inform and guide </w:t>
      </w:r>
      <w:r w:rsidRPr="00EF5011">
        <w:rPr>
          <w:rFonts w:asciiTheme="minorHAnsi" w:hAnsiTheme="minorHAnsi" w:cstheme="minorHAnsi"/>
          <w:sz w:val="25"/>
          <w:szCs w:val="25"/>
        </w:rPr>
        <w:t>continuous improvement (enhancing operations, planning, guiding decision making, allocating resources, etc.)</w:t>
      </w:r>
    </w:p>
    <w:p w14:paraId="24238521" w14:textId="77777777" w:rsidR="001E745A" w:rsidRPr="00EF5011" w:rsidRDefault="009779EC" w:rsidP="00CC7DDB">
      <w:pPr>
        <w:pStyle w:val="ListParagraph"/>
        <w:numPr>
          <w:ilvl w:val="0"/>
          <w:numId w:val="4"/>
        </w:numPr>
        <w:ind w:left="630"/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sz w:val="25"/>
          <w:szCs w:val="25"/>
        </w:rPr>
        <w:t>Provide evidence of systematic processes</w:t>
      </w:r>
      <w:r w:rsidR="00980582" w:rsidRPr="00EF5011">
        <w:rPr>
          <w:rFonts w:asciiTheme="minorHAnsi" w:hAnsiTheme="minorHAnsi" w:cstheme="minorHAnsi"/>
          <w:sz w:val="25"/>
          <w:szCs w:val="25"/>
        </w:rPr>
        <w:t xml:space="preserve"> (meaningful and sustainable)</w:t>
      </w:r>
      <w:r w:rsidRPr="00EF5011">
        <w:rPr>
          <w:rFonts w:asciiTheme="minorHAnsi" w:hAnsiTheme="minorHAnsi" w:cstheme="minorHAnsi"/>
          <w:sz w:val="25"/>
          <w:szCs w:val="25"/>
        </w:rPr>
        <w:t xml:space="preserve"> for </w:t>
      </w:r>
      <w:r w:rsidR="00980582" w:rsidRPr="00EF5011">
        <w:rPr>
          <w:rFonts w:asciiTheme="minorHAnsi" w:hAnsiTheme="minorHAnsi" w:cstheme="minorHAnsi"/>
          <w:sz w:val="25"/>
          <w:szCs w:val="25"/>
        </w:rPr>
        <w:t>continuous quality improvement</w:t>
      </w:r>
    </w:p>
    <w:p w14:paraId="6487147A" w14:textId="1BB06790" w:rsidR="009779EC" w:rsidRPr="00EF5011" w:rsidRDefault="001E745A" w:rsidP="00EF5011">
      <w:pPr>
        <w:spacing w:before="240"/>
        <w:rPr>
          <w:rFonts w:asciiTheme="minorHAnsi" w:hAnsiTheme="minorHAnsi" w:cstheme="minorHAnsi"/>
          <w:sz w:val="25"/>
          <w:szCs w:val="25"/>
        </w:rPr>
      </w:pPr>
      <w:r w:rsidRPr="00EF5011">
        <w:rPr>
          <w:rFonts w:asciiTheme="minorHAnsi" w:hAnsiTheme="minorHAnsi" w:cstheme="minorHAnsi"/>
          <w:b/>
          <w:sz w:val="25"/>
          <w:szCs w:val="25"/>
        </w:rPr>
        <w:t>Guidance for Managers</w:t>
      </w:r>
      <w:r w:rsidRPr="00EF5011">
        <w:rPr>
          <w:rFonts w:asciiTheme="minorHAnsi" w:hAnsiTheme="minorHAnsi" w:cstheme="minorHAnsi"/>
          <w:sz w:val="25"/>
          <w:szCs w:val="25"/>
        </w:rPr>
        <w:t xml:space="preserve"> </w:t>
      </w:r>
      <w:r w:rsidR="003F6C5F" w:rsidRPr="00EF5011">
        <w:rPr>
          <w:rFonts w:asciiTheme="minorHAnsi" w:hAnsiTheme="minorHAnsi" w:cstheme="minorHAnsi"/>
          <w:b/>
          <w:sz w:val="25"/>
          <w:szCs w:val="25"/>
        </w:rPr>
        <w:t>and Directors</w:t>
      </w:r>
      <w:r w:rsidR="003F6C5F" w:rsidRPr="00EF5011">
        <w:rPr>
          <w:rFonts w:asciiTheme="minorHAnsi" w:hAnsiTheme="minorHAnsi" w:cstheme="minorHAnsi"/>
          <w:sz w:val="25"/>
          <w:szCs w:val="25"/>
        </w:rPr>
        <w:t xml:space="preserve"> </w:t>
      </w:r>
      <w:r w:rsidRPr="00EF5011">
        <w:rPr>
          <w:rFonts w:asciiTheme="minorHAnsi" w:hAnsiTheme="minorHAnsi" w:cstheme="minorHAnsi"/>
          <w:sz w:val="25"/>
          <w:szCs w:val="25"/>
        </w:rPr>
        <w:br/>
      </w:r>
      <w:r w:rsidR="00EF5011" w:rsidRPr="00EF5011">
        <w:rPr>
          <w:rFonts w:asciiTheme="minorHAnsi" w:hAnsiTheme="minorHAnsi" w:cstheme="minorHAnsi"/>
          <w:sz w:val="25"/>
          <w:szCs w:val="25"/>
        </w:rPr>
        <w:t>Follow these</w:t>
      </w:r>
      <w:r w:rsidR="00B535ED" w:rsidRPr="00EF5011">
        <w:rPr>
          <w:rFonts w:asciiTheme="minorHAnsi" w:hAnsiTheme="minorHAnsi" w:cstheme="minorHAnsi"/>
          <w:sz w:val="25"/>
          <w:szCs w:val="25"/>
        </w:rPr>
        <w:t xml:space="preserve"> guidelines and practices </w:t>
      </w:r>
      <w:r w:rsidR="006F59A5" w:rsidRPr="00EF5011">
        <w:rPr>
          <w:rFonts w:asciiTheme="minorHAnsi" w:hAnsiTheme="minorHAnsi" w:cstheme="minorHAnsi"/>
          <w:sz w:val="25"/>
          <w:szCs w:val="25"/>
        </w:rPr>
        <w:t>t</w:t>
      </w:r>
      <w:r w:rsidR="00B535ED" w:rsidRPr="00EF5011">
        <w:rPr>
          <w:rFonts w:asciiTheme="minorHAnsi" w:hAnsiTheme="minorHAnsi" w:cstheme="minorHAnsi"/>
          <w:sz w:val="25"/>
          <w:szCs w:val="25"/>
        </w:rPr>
        <w:t xml:space="preserve">o ensure meaningful, manageable, and sustainable </w:t>
      </w:r>
      <w:r w:rsidR="00B816DD" w:rsidRPr="00EF5011">
        <w:rPr>
          <w:rFonts w:asciiTheme="minorHAnsi" w:hAnsiTheme="minorHAnsi" w:cstheme="minorHAnsi"/>
          <w:sz w:val="25"/>
          <w:szCs w:val="25"/>
        </w:rPr>
        <w:t>i</w:t>
      </w:r>
      <w:r w:rsidR="00B535ED" w:rsidRPr="00EF5011">
        <w:rPr>
          <w:rFonts w:asciiTheme="minorHAnsi" w:hAnsiTheme="minorHAnsi" w:cstheme="minorHAnsi"/>
          <w:sz w:val="25"/>
          <w:szCs w:val="25"/>
        </w:rPr>
        <w:t xml:space="preserve">nstitutional </w:t>
      </w:r>
      <w:r w:rsidR="00B816DD" w:rsidRPr="00EF5011">
        <w:rPr>
          <w:rFonts w:asciiTheme="minorHAnsi" w:hAnsiTheme="minorHAnsi" w:cstheme="minorHAnsi"/>
          <w:sz w:val="25"/>
          <w:szCs w:val="25"/>
        </w:rPr>
        <w:t>e</w:t>
      </w:r>
      <w:r w:rsidR="00B535ED" w:rsidRPr="00EF5011">
        <w:rPr>
          <w:rFonts w:asciiTheme="minorHAnsi" w:hAnsiTheme="minorHAnsi" w:cstheme="minorHAnsi"/>
          <w:sz w:val="25"/>
          <w:szCs w:val="25"/>
        </w:rPr>
        <w:t>ffectiveness</w:t>
      </w:r>
      <w:r w:rsidR="00EF5011" w:rsidRPr="00EF5011">
        <w:rPr>
          <w:rFonts w:asciiTheme="minorHAnsi" w:hAnsiTheme="minorHAnsi" w:cstheme="minorHAnsi"/>
          <w:sz w:val="25"/>
          <w:szCs w:val="25"/>
        </w:rPr>
        <w:t>.</w:t>
      </w:r>
    </w:p>
    <w:p w14:paraId="6586320B" w14:textId="59F38152" w:rsidR="00EF5011" w:rsidRPr="00EF5011" w:rsidRDefault="00EF5011" w:rsidP="00EF5011">
      <w:pPr>
        <w:spacing w:before="180"/>
        <w:rPr>
          <w:rFonts w:asciiTheme="minorHAnsi" w:hAnsiTheme="minorHAnsi" w:cstheme="minorHAnsi"/>
        </w:rPr>
      </w:pPr>
      <w:r w:rsidRPr="00EF5011">
        <w:rPr>
          <w:rFonts w:asciiTheme="minorHAnsi" w:hAnsiTheme="minorHAnsi" w:cstheme="minorHAnsi"/>
          <w:sz w:val="25"/>
          <w:szCs w:val="25"/>
        </w:rPr>
        <w:t>The administrative unit</w:t>
      </w:r>
      <w:r>
        <w:rPr>
          <w:rFonts w:asciiTheme="minorHAnsi" w:hAnsiTheme="minorHAnsi" w:cstheme="minorHAnsi"/>
          <w:sz w:val="25"/>
          <w:szCs w:val="25"/>
        </w:rPr>
        <w:t>:</w:t>
      </w:r>
    </w:p>
    <w:p w14:paraId="2D29736D" w14:textId="1B7ABF0B" w:rsidR="00F216FA" w:rsidRPr="00B93673" w:rsidRDefault="00CC7DDB" w:rsidP="00EF5011">
      <w:pPr>
        <w:spacing w:before="120" w:line="228" w:lineRule="auto"/>
        <w:ind w:left="734" w:hanging="547"/>
        <w:rPr>
          <w:rFonts w:ascii="Calibri" w:hAnsi="Calibri" w:cs="Calibri"/>
          <w:sz w:val="25"/>
          <w:szCs w:val="25"/>
        </w:rPr>
      </w:pPr>
      <w:r w:rsidRPr="00B93673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673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B93673">
        <w:rPr>
          <w:rFonts w:ascii="Calibri" w:hAnsi="Calibri" w:cs="Calibri"/>
          <w:sz w:val="25"/>
          <w:szCs w:val="25"/>
        </w:rPr>
        <w:fldChar w:fldCharType="end"/>
      </w:r>
      <w:r w:rsidR="001E745A">
        <w:rPr>
          <w:rFonts w:ascii="Calibri" w:hAnsi="Calibri" w:cs="Calibri"/>
          <w:sz w:val="25"/>
          <w:szCs w:val="25"/>
        </w:rPr>
        <w:tab/>
      </w:r>
      <w:r w:rsidR="003F6C5F">
        <w:rPr>
          <w:rFonts w:ascii="Calibri" w:hAnsi="Calibri" w:cs="Calibri"/>
          <w:sz w:val="25"/>
          <w:szCs w:val="25"/>
        </w:rPr>
        <w:t xml:space="preserve">members </w:t>
      </w:r>
      <w:r w:rsidR="00F64B2A">
        <w:rPr>
          <w:rFonts w:ascii="Calibri" w:hAnsi="Calibri" w:cs="Calibri"/>
          <w:sz w:val="25"/>
          <w:szCs w:val="25"/>
        </w:rPr>
        <w:t xml:space="preserve">understand </w:t>
      </w:r>
      <w:r w:rsidR="00F216FA">
        <w:rPr>
          <w:rFonts w:ascii="Calibri" w:hAnsi="Calibri" w:cs="Calibri"/>
          <w:sz w:val="25"/>
          <w:szCs w:val="25"/>
        </w:rPr>
        <w:t xml:space="preserve">the </w:t>
      </w:r>
      <w:r w:rsidR="00F64B2A">
        <w:rPr>
          <w:rFonts w:ascii="Calibri" w:hAnsi="Calibri" w:cs="Calibri"/>
          <w:sz w:val="25"/>
          <w:szCs w:val="25"/>
        </w:rPr>
        <w:t xml:space="preserve">context </w:t>
      </w:r>
      <w:r w:rsidR="001E745A">
        <w:rPr>
          <w:rFonts w:ascii="Calibri" w:hAnsi="Calibri" w:cs="Calibri"/>
          <w:sz w:val="25"/>
          <w:szCs w:val="25"/>
        </w:rPr>
        <w:t xml:space="preserve">for </w:t>
      </w:r>
      <w:r w:rsidR="00F216FA">
        <w:rPr>
          <w:rFonts w:ascii="Calibri" w:hAnsi="Calibri" w:cs="Calibri"/>
          <w:sz w:val="25"/>
          <w:szCs w:val="25"/>
        </w:rPr>
        <w:t xml:space="preserve">institutional effectiveness </w:t>
      </w:r>
      <w:r w:rsidR="008200AB">
        <w:rPr>
          <w:rFonts w:ascii="Calibri" w:hAnsi="Calibri" w:cs="Calibri"/>
          <w:sz w:val="25"/>
          <w:szCs w:val="25"/>
        </w:rPr>
        <w:t>work (see Figure 1)</w:t>
      </w:r>
    </w:p>
    <w:p w14:paraId="2A3DE4AE" w14:textId="1C4B2E59" w:rsidR="00C352F2" w:rsidRPr="00F80997" w:rsidRDefault="00C352F2" w:rsidP="00EF5011">
      <w:pPr>
        <w:spacing w:before="120" w:line="228" w:lineRule="auto"/>
        <w:ind w:left="734" w:hanging="547"/>
        <w:rPr>
          <w:rFonts w:ascii="Calibri" w:hAnsi="Calibri" w:cs="Calibri"/>
          <w:sz w:val="25"/>
          <w:szCs w:val="25"/>
        </w:rPr>
      </w:pPr>
      <w:r w:rsidRPr="00B93673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93673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B93673">
        <w:rPr>
          <w:rFonts w:ascii="Calibri" w:hAnsi="Calibri" w:cs="Calibri"/>
          <w:sz w:val="25"/>
          <w:szCs w:val="25"/>
        </w:rPr>
        <w:fldChar w:fldCharType="end"/>
      </w:r>
      <w:bookmarkEnd w:id="0"/>
      <w:r w:rsidRPr="00B93673">
        <w:rPr>
          <w:rFonts w:ascii="Calibri" w:hAnsi="Calibri" w:cs="Calibri"/>
          <w:sz w:val="25"/>
          <w:szCs w:val="25"/>
        </w:rPr>
        <w:tab/>
      </w:r>
      <w:r w:rsidR="00D00ED1" w:rsidRPr="00F80997">
        <w:rPr>
          <w:rFonts w:ascii="Calibri" w:hAnsi="Calibri" w:cs="Calibri"/>
          <w:sz w:val="25"/>
          <w:szCs w:val="25"/>
        </w:rPr>
        <w:t>member</w:t>
      </w:r>
      <w:r w:rsidR="00980582">
        <w:rPr>
          <w:rFonts w:ascii="Calibri" w:hAnsi="Calibri" w:cs="Calibri"/>
          <w:sz w:val="25"/>
          <w:szCs w:val="25"/>
        </w:rPr>
        <w:t>s are</w:t>
      </w:r>
      <w:r w:rsidR="00D00ED1">
        <w:rPr>
          <w:rFonts w:ascii="Calibri" w:hAnsi="Calibri" w:cs="Calibri"/>
          <w:sz w:val="25"/>
          <w:szCs w:val="25"/>
        </w:rPr>
        <w:t xml:space="preserve"> aware of the</w:t>
      </w:r>
      <w:r w:rsidR="00F64B2A">
        <w:rPr>
          <w:rFonts w:ascii="Calibri" w:hAnsi="Calibri" w:cs="Calibri"/>
          <w:sz w:val="25"/>
          <w:szCs w:val="25"/>
        </w:rPr>
        <w:t>ir unit</w:t>
      </w:r>
      <w:r w:rsidR="00D00ED1">
        <w:rPr>
          <w:rFonts w:ascii="Calibri" w:hAnsi="Calibri" w:cs="Calibri"/>
          <w:sz w:val="25"/>
          <w:szCs w:val="25"/>
        </w:rPr>
        <w:t xml:space="preserve"> goals</w:t>
      </w:r>
      <w:r w:rsidR="003B07D8">
        <w:rPr>
          <w:rFonts w:ascii="Calibri" w:hAnsi="Calibri" w:cs="Calibri"/>
          <w:sz w:val="25"/>
          <w:szCs w:val="25"/>
        </w:rPr>
        <w:t>,</w:t>
      </w:r>
      <w:r w:rsidR="00D00ED1">
        <w:rPr>
          <w:rFonts w:ascii="Calibri" w:hAnsi="Calibri" w:cs="Calibri"/>
          <w:sz w:val="25"/>
          <w:szCs w:val="25"/>
        </w:rPr>
        <w:t xml:space="preserve"> </w:t>
      </w:r>
      <w:r w:rsidR="00F216FA">
        <w:rPr>
          <w:rFonts w:ascii="Calibri" w:hAnsi="Calibri" w:cs="Calibri"/>
          <w:sz w:val="25"/>
          <w:szCs w:val="25"/>
        </w:rPr>
        <w:t>an</w:t>
      </w:r>
      <w:bookmarkStart w:id="1" w:name="_GoBack"/>
      <w:bookmarkEnd w:id="1"/>
      <w:r w:rsidR="00F216FA">
        <w:rPr>
          <w:rFonts w:ascii="Calibri" w:hAnsi="Calibri" w:cs="Calibri"/>
          <w:sz w:val="25"/>
          <w:szCs w:val="25"/>
        </w:rPr>
        <w:t>d the</w:t>
      </w:r>
      <w:r w:rsidR="00D00ED1">
        <w:rPr>
          <w:rFonts w:ascii="Calibri" w:hAnsi="Calibri" w:cs="Calibri"/>
          <w:sz w:val="25"/>
          <w:szCs w:val="25"/>
        </w:rPr>
        <w:t xml:space="preserve"> </w:t>
      </w:r>
      <w:r w:rsidR="00987D73">
        <w:rPr>
          <w:rFonts w:ascii="Calibri" w:hAnsi="Calibri" w:cs="Calibri"/>
          <w:sz w:val="25"/>
          <w:szCs w:val="25"/>
        </w:rPr>
        <w:t xml:space="preserve">IE Map is </w:t>
      </w:r>
      <w:r w:rsidR="003B07D8">
        <w:rPr>
          <w:rFonts w:ascii="Calibri" w:hAnsi="Calibri" w:cs="Calibri"/>
          <w:sz w:val="25"/>
          <w:szCs w:val="25"/>
        </w:rPr>
        <w:t>accessible to</w:t>
      </w:r>
      <w:r w:rsidR="00F564CA" w:rsidRPr="00F80997">
        <w:rPr>
          <w:rFonts w:ascii="Calibri" w:hAnsi="Calibri" w:cs="Calibri"/>
          <w:sz w:val="25"/>
          <w:szCs w:val="25"/>
        </w:rPr>
        <w:t xml:space="preserve"> all </w:t>
      </w:r>
      <w:r w:rsidR="00D00ED1">
        <w:rPr>
          <w:rFonts w:ascii="Calibri" w:hAnsi="Calibri" w:cs="Calibri"/>
          <w:sz w:val="25"/>
          <w:szCs w:val="25"/>
        </w:rPr>
        <w:t xml:space="preserve">(file share, </w:t>
      </w:r>
      <w:r w:rsidR="00987D73">
        <w:rPr>
          <w:rFonts w:ascii="Calibri" w:hAnsi="Calibri" w:cs="Calibri"/>
          <w:sz w:val="25"/>
          <w:szCs w:val="25"/>
        </w:rPr>
        <w:t xml:space="preserve">Taskstream, </w:t>
      </w:r>
      <w:r w:rsidR="00D00ED1">
        <w:rPr>
          <w:rFonts w:ascii="Calibri" w:hAnsi="Calibri" w:cs="Calibri"/>
          <w:sz w:val="25"/>
          <w:szCs w:val="25"/>
        </w:rPr>
        <w:t>etc.)</w:t>
      </w:r>
      <w:r w:rsidR="003B07D8">
        <w:rPr>
          <w:rFonts w:ascii="Calibri" w:hAnsi="Calibri" w:cs="Calibri"/>
          <w:sz w:val="25"/>
          <w:szCs w:val="25"/>
        </w:rPr>
        <w:t>.</w:t>
      </w:r>
      <w:r w:rsidR="001E745A">
        <w:rPr>
          <w:rFonts w:ascii="Calibri" w:hAnsi="Calibri" w:cs="Calibri"/>
          <w:sz w:val="25"/>
          <w:szCs w:val="25"/>
        </w:rPr>
        <w:t xml:space="preserve"> </w:t>
      </w:r>
      <w:r w:rsidR="00F216FA" w:rsidRPr="00AE6665">
        <w:rPr>
          <w:rFonts w:ascii="Calibri" w:hAnsi="Calibri" w:cs="Calibri"/>
          <w:sz w:val="25"/>
          <w:szCs w:val="25"/>
        </w:rPr>
        <w:t>Note:</w:t>
      </w:r>
      <w:r w:rsidR="00F216FA">
        <w:rPr>
          <w:rFonts w:ascii="Calibri" w:hAnsi="Calibri" w:cs="Calibri"/>
          <w:sz w:val="25"/>
          <w:szCs w:val="25"/>
        </w:rPr>
        <w:t xml:space="preserve"> IE Maps in Taskstream can link to Division Goals and the </w:t>
      </w:r>
      <w:r w:rsidR="003B07D8">
        <w:rPr>
          <w:rFonts w:ascii="Calibri" w:hAnsi="Calibri" w:cs="Calibri"/>
          <w:sz w:val="25"/>
          <w:szCs w:val="25"/>
        </w:rPr>
        <w:t xml:space="preserve">university’s </w:t>
      </w:r>
      <w:r w:rsidR="00F216FA">
        <w:rPr>
          <w:rFonts w:ascii="Calibri" w:hAnsi="Calibri" w:cs="Calibri"/>
          <w:sz w:val="25"/>
          <w:szCs w:val="25"/>
        </w:rPr>
        <w:t>Strategic Plan Dimensions</w:t>
      </w:r>
      <w:r w:rsidR="003F6C5F">
        <w:rPr>
          <w:rFonts w:ascii="Calibri" w:hAnsi="Calibri" w:cs="Calibri"/>
          <w:sz w:val="25"/>
          <w:szCs w:val="25"/>
        </w:rPr>
        <w:t xml:space="preserve"> and Goals</w:t>
      </w:r>
    </w:p>
    <w:p w14:paraId="237AB703" w14:textId="6B338DBF" w:rsidR="00C352F2" w:rsidRPr="00F80997" w:rsidRDefault="00C352F2" w:rsidP="00EF5011">
      <w:pPr>
        <w:spacing w:before="120" w:line="228" w:lineRule="auto"/>
        <w:ind w:left="734" w:hanging="547"/>
        <w:rPr>
          <w:rFonts w:ascii="Calibri" w:hAnsi="Calibri" w:cs="Calibri"/>
          <w:sz w:val="25"/>
          <w:szCs w:val="25"/>
        </w:rPr>
      </w:pPr>
      <w:r w:rsidRPr="00F80997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997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F80997">
        <w:rPr>
          <w:rFonts w:ascii="Calibri" w:hAnsi="Calibri" w:cs="Calibri"/>
          <w:sz w:val="25"/>
          <w:szCs w:val="25"/>
        </w:rPr>
        <w:fldChar w:fldCharType="end"/>
      </w:r>
      <w:r w:rsidRPr="00F80997">
        <w:rPr>
          <w:rFonts w:ascii="Calibri" w:hAnsi="Calibri" w:cs="Calibri"/>
          <w:sz w:val="25"/>
          <w:szCs w:val="25"/>
        </w:rPr>
        <w:tab/>
        <w:t>ha</w:t>
      </w:r>
      <w:r w:rsidR="00F564CA" w:rsidRPr="00F80997">
        <w:rPr>
          <w:rFonts w:ascii="Calibri" w:hAnsi="Calibri" w:cs="Calibri"/>
          <w:sz w:val="25"/>
          <w:szCs w:val="25"/>
        </w:rPr>
        <w:t>s</w:t>
      </w:r>
      <w:r w:rsidRPr="00F80997">
        <w:rPr>
          <w:rFonts w:ascii="Calibri" w:hAnsi="Calibri" w:cs="Calibri"/>
          <w:sz w:val="25"/>
          <w:szCs w:val="25"/>
        </w:rPr>
        <w:t xml:space="preserve"> </w:t>
      </w:r>
      <w:r w:rsidR="00F564CA" w:rsidRPr="00F80997">
        <w:rPr>
          <w:rFonts w:ascii="Calibri" w:hAnsi="Calibri" w:cs="Calibri"/>
          <w:sz w:val="25"/>
          <w:szCs w:val="25"/>
        </w:rPr>
        <w:t>a designated person</w:t>
      </w:r>
      <w:r w:rsidR="00F216FA">
        <w:rPr>
          <w:rFonts w:ascii="Calibri" w:hAnsi="Calibri" w:cs="Calibri"/>
          <w:sz w:val="25"/>
          <w:szCs w:val="25"/>
        </w:rPr>
        <w:t>(s)</w:t>
      </w:r>
      <w:r w:rsidRPr="00F80997">
        <w:rPr>
          <w:rFonts w:ascii="Calibri" w:hAnsi="Calibri" w:cs="Calibri"/>
          <w:sz w:val="25"/>
          <w:szCs w:val="25"/>
        </w:rPr>
        <w:t xml:space="preserve"> leading the </w:t>
      </w:r>
      <w:r w:rsidR="0054522A">
        <w:rPr>
          <w:rFonts w:ascii="Calibri" w:hAnsi="Calibri" w:cs="Calibri"/>
          <w:sz w:val="25"/>
          <w:szCs w:val="25"/>
        </w:rPr>
        <w:t xml:space="preserve">IE Map </w:t>
      </w:r>
      <w:r w:rsidRPr="00F80997">
        <w:rPr>
          <w:rFonts w:ascii="Calibri" w:hAnsi="Calibri" w:cs="Calibri"/>
          <w:sz w:val="25"/>
          <w:szCs w:val="25"/>
        </w:rPr>
        <w:t>implementation</w:t>
      </w:r>
      <w:r w:rsidR="003B07D8">
        <w:rPr>
          <w:rFonts w:ascii="Calibri" w:hAnsi="Calibri" w:cs="Calibri"/>
          <w:sz w:val="25"/>
          <w:szCs w:val="25"/>
        </w:rPr>
        <w:t>,</w:t>
      </w:r>
      <w:r w:rsidRPr="00F80997">
        <w:rPr>
          <w:rFonts w:ascii="Calibri" w:hAnsi="Calibri" w:cs="Calibri"/>
          <w:sz w:val="25"/>
          <w:szCs w:val="25"/>
        </w:rPr>
        <w:t xml:space="preserve"> </w:t>
      </w:r>
      <w:r w:rsidR="00F216FA">
        <w:rPr>
          <w:rFonts w:ascii="Calibri" w:hAnsi="Calibri" w:cs="Calibri"/>
          <w:sz w:val="25"/>
          <w:szCs w:val="25"/>
        </w:rPr>
        <w:t xml:space="preserve">and members know if they are </w:t>
      </w:r>
      <w:r w:rsidR="00904E73">
        <w:rPr>
          <w:rFonts w:ascii="Calibri" w:hAnsi="Calibri" w:cs="Calibri"/>
          <w:sz w:val="25"/>
          <w:szCs w:val="25"/>
        </w:rPr>
        <w:t>responsib</w:t>
      </w:r>
      <w:r w:rsidR="003644ED">
        <w:rPr>
          <w:rFonts w:ascii="Calibri" w:hAnsi="Calibri" w:cs="Calibri"/>
          <w:sz w:val="25"/>
          <w:szCs w:val="25"/>
        </w:rPr>
        <w:t>le for some aspect of the plan (data collection,</w:t>
      </w:r>
      <w:r w:rsidR="00F216FA">
        <w:rPr>
          <w:rFonts w:ascii="Calibri" w:hAnsi="Calibri" w:cs="Calibri"/>
          <w:sz w:val="25"/>
          <w:szCs w:val="25"/>
        </w:rPr>
        <w:t xml:space="preserve"> </w:t>
      </w:r>
      <w:r w:rsidR="003F6C5F">
        <w:rPr>
          <w:rFonts w:ascii="Calibri" w:hAnsi="Calibri" w:cs="Calibri"/>
          <w:sz w:val="25"/>
          <w:szCs w:val="25"/>
        </w:rPr>
        <w:t xml:space="preserve">updating Taskstream, </w:t>
      </w:r>
      <w:r w:rsidR="00F216FA">
        <w:rPr>
          <w:rFonts w:ascii="Calibri" w:hAnsi="Calibri" w:cs="Calibri"/>
          <w:sz w:val="25"/>
          <w:szCs w:val="25"/>
        </w:rPr>
        <w:t>etc.)</w:t>
      </w:r>
    </w:p>
    <w:p w14:paraId="35CBB2BA" w14:textId="2ED8AED2" w:rsidR="00C352F2" w:rsidRDefault="00F564CA" w:rsidP="00EF5011">
      <w:pPr>
        <w:spacing w:before="120" w:line="228" w:lineRule="auto"/>
        <w:ind w:left="734" w:hanging="547"/>
        <w:rPr>
          <w:rFonts w:ascii="Calibri" w:hAnsi="Calibri" w:cs="Calibri"/>
          <w:sz w:val="25"/>
          <w:szCs w:val="25"/>
        </w:rPr>
      </w:pPr>
      <w:r w:rsidRPr="00F80997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997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F80997">
        <w:rPr>
          <w:rFonts w:ascii="Calibri" w:hAnsi="Calibri" w:cs="Calibri"/>
          <w:sz w:val="25"/>
          <w:szCs w:val="25"/>
        </w:rPr>
        <w:fldChar w:fldCharType="end"/>
      </w:r>
      <w:r w:rsidRPr="00F80997">
        <w:rPr>
          <w:rFonts w:ascii="Calibri" w:hAnsi="Calibri" w:cs="Calibri"/>
          <w:sz w:val="25"/>
          <w:szCs w:val="25"/>
        </w:rPr>
        <w:tab/>
      </w:r>
      <w:r w:rsidR="00A22503" w:rsidRPr="00F80997">
        <w:rPr>
          <w:rFonts w:ascii="Calibri" w:hAnsi="Calibri" w:cs="Calibri"/>
          <w:sz w:val="25"/>
          <w:szCs w:val="25"/>
        </w:rPr>
        <w:t xml:space="preserve">has a </w:t>
      </w:r>
      <w:r w:rsidR="00AE6665">
        <w:rPr>
          <w:rFonts w:ascii="Calibri" w:hAnsi="Calibri" w:cs="Calibri"/>
          <w:sz w:val="25"/>
          <w:szCs w:val="25"/>
        </w:rPr>
        <w:t xml:space="preserve">consistent and </w:t>
      </w:r>
      <w:r w:rsidR="00A22503" w:rsidRPr="00F80997">
        <w:rPr>
          <w:rFonts w:ascii="Calibri" w:hAnsi="Calibri" w:cs="Calibri"/>
          <w:sz w:val="25"/>
          <w:szCs w:val="25"/>
        </w:rPr>
        <w:t xml:space="preserve">formalized </w:t>
      </w:r>
      <w:r w:rsidR="00AE6665">
        <w:rPr>
          <w:rFonts w:ascii="Calibri" w:hAnsi="Calibri" w:cs="Calibri"/>
          <w:sz w:val="25"/>
          <w:szCs w:val="25"/>
        </w:rPr>
        <w:t>assessment</w:t>
      </w:r>
      <w:r w:rsidR="00A22503" w:rsidRPr="00F80997">
        <w:rPr>
          <w:rFonts w:ascii="Calibri" w:hAnsi="Calibri" w:cs="Calibri"/>
          <w:sz w:val="25"/>
          <w:szCs w:val="25"/>
        </w:rPr>
        <w:t xml:space="preserve"> process</w:t>
      </w:r>
      <w:r w:rsidR="00904E73">
        <w:rPr>
          <w:rFonts w:ascii="Calibri" w:hAnsi="Calibri" w:cs="Calibri"/>
          <w:sz w:val="25"/>
          <w:szCs w:val="25"/>
        </w:rPr>
        <w:t xml:space="preserve"> and timeline</w:t>
      </w:r>
      <w:r w:rsidR="00F216FA">
        <w:rPr>
          <w:rFonts w:ascii="Calibri" w:hAnsi="Calibri" w:cs="Calibri"/>
          <w:sz w:val="25"/>
          <w:szCs w:val="25"/>
        </w:rPr>
        <w:t xml:space="preserve"> </w:t>
      </w:r>
    </w:p>
    <w:p w14:paraId="62944BBB" w14:textId="1C747795" w:rsidR="00904E73" w:rsidRPr="00F80997" w:rsidRDefault="00904E73" w:rsidP="00EF5011">
      <w:pPr>
        <w:spacing w:before="120" w:line="228" w:lineRule="auto"/>
        <w:ind w:left="734" w:hanging="547"/>
        <w:rPr>
          <w:rFonts w:ascii="Calibri" w:hAnsi="Calibri" w:cs="Calibri"/>
          <w:sz w:val="25"/>
          <w:szCs w:val="25"/>
        </w:rPr>
      </w:pPr>
      <w:r w:rsidRPr="00F80997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997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F80997">
        <w:rPr>
          <w:rFonts w:ascii="Calibri" w:hAnsi="Calibri" w:cs="Calibri"/>
          <w:sz w:val="25"/>
          <w:szCs w:val="25"/>
        </w:rPr>
        <w:fldChar w:fldCharType="end"/>
      </w:r>
      <w:r>
        <w:rPr>
          <w:rFonts w:ascii="Calibri" w:hAnsi="Calibri" w:cs="Calibri"/>
          <w:sz w:val="25"/>
          <w:szCs w:val="25"/>
        </w:rPr>
        <w:tab/>
        <w:t>develops or uses appropria</w:t>
      </w:r>
      <w:r w:rsidR="00987D73">
        <w:rPr>
          <w:rFonts w:ascii="Calibri" w:hAnsi="Calibri" w:cs="Calibri"/>
          <w:sz w:val="25"/>
          <w:szCs w:val="25"/>
        </w:rPr>
        <w:t>te assessment methods and tools that provide evidence to support goals</w:t>
      </w:r>
    </w:p>
    <w:p w14:paraId="6E2A2DAE" w14:textId="45F02507" w:rsidR="005B2DFF" w:rsidRPr="00F80997" w:rsidRDefault="00C352F2" w:rsidP="00EF5011">
      <w:pPr>
        <w:spacing w:before="120" w:line="228" w:lineRule="auto"/>
        <w:ind w:left="734" w:hanging="547"/>
        <w:rPr>
          <w:rFonts w:ascii="Calibri" w:hAnsi="Calibri" w:cs="Calibri"/>
          <w:sz w:val="25"/>
          <w:szCs w:val="25"/>
        </w:rPr>
      </w:pPr>
      <w:r w:rsidRPr="00F80997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997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F80997">
        <w:rPr>
          <w:rFonts w:ascii="Calibri" w:hAnsi="Calibri" w:cs="Calibri"/>
          <w:sz w:val="25"/>
          <w:szCs w:val="25"/>
        </w:rPr>
        <w:fldChar w:fldCharType="end"/>
      </w:r>
      <w:r w:rsidRPr="00F80997">
        <w:rPr>
          <w:rFonts w:ascii="Calibri" w:hAnsi="Calibri" w:cs="Calibri"/>
          <w:sz w:val="25"/>
          <w:szCs w:val="25"/>
        </w:rPr>
        <w:tab/>
        <w:t>ha</w:t>
      </w:r>
      <w:r w:rsidR="00A22503" w:rsidRPr="00F80997">
        <w:rPr>
          <w:rFonts w:ascii="Calibri" w:hAnsi="Calibri" w:cs="Calibri"/>
          <w:sz w:val="25"/>
          <w:szCs w:val="25"/>
        </w:rPr>
        <w:t>s</w:t>
      </w:r>
      <w:r w:rsidRPr="00F80997">
        <w:rPr>
          <w:rFonts w:ascii="Calibri" w:hAnsi="Calibri" w:cs="Calibri"/>
          <w:sz w:val="25"/>
          <w:szCs w:val="25"/>
        </w:rPr>
        <w:t xml:space="preserve"> a structured</w:t>
      </w:r>
      <w:r w:rsidR="00C8614B" w:rsidRPr="00F80997">
        <w:rPr>
          <w:rFonts w:ascii="Calibri" w:hAnsi="Calibri" w:cs="Calibri"/>
          <w:sz w:val="25"/>
          <w:szCs w:val="25"/>
        </w:rPr>
        <w:t>,</w:t>
      </w:r>
      <w:r w:rsidRPr="00F80997">
        <w:rPr>
          <w:rFonts w:ascii="Calibri" w:hAnsi="Calibri" w:cs="Calibri"/>
          <w:sz w:val="25"/>
          <w:szCs w:val="25"/>
        </w:rPr>
        <w:t xml:space="preserve"> formal</w:t>
      </w:r>
      <w:r w:rsidR="00C8614B" w:rsidRPr="00F80997">
        <w:rPr>
          <w:rFonts w:ascii="Calibri" w:hAnsi="Calibri" w:cs="Calibri"/>
          <w:sz w:val="25"/>
          <w:szCs w:val="25"/>
        </w:rPr>
        <w:t>,</w:t>
      </w:r>
      <w:r w:rsidRPr="00F80997">
        <w:rPr>
          <w:rFonts w:ascii="Calibri" w:hAnsi="Calibri" w:cs="Calibri"/>
          <w:sz w:val="25"/>
          <w:szCs w:val="25"/>
        </w:rPr>
        <w:t xml:space="preserve"> annual time to </w:t>
      </w:r>
      <w:r w:rsidR="002B7D49" w:rsidRPr="00F80997">
        <w:rPr>
          <w:rFonts w:ascii="Calibri" w:hAnsi="Calibri" w:cs="Calibri"/>
          <w:sz w:val="25"/>
          <w:szCs w:val="25"/>
        </w:rPr>
        <w:t xml:space="preserve">engage all </w:t>
      </w:r>
      <w:r w:rsidR="00F80997" w:rsidRPr="00F80997">
        <w:rPr>
          <w:rFonts w:ascii="Calibri" w:hAnsi="Calibri" w:cs="Calibri"/>
          <w:sz w:val="25"/>
          <w:szCs w:val="25"/>
        </w:rPr>
        <w:t>unit members</w:t>
      </w:r>
      <w:r w:rsidR="002B7D49" w:rsidRPr="00F80997">
        <w:rPr>
          <w:rFonts w:ascii="Calibri" w:hAnsi="Calibri" w:cs="Calibri"/>
          <w:sz w:val="25"/>
          <w:szCs w:val="25"/>
        </w:rPr>
        <w:t xml:space="preserve"> to </w:t>
      </w:r>
      <w:r w:rsidRPr="00F80997">
        <w:rPr>
          <w:rFonts w:ascii="Calibri" w:hAnsi="Calibri" w:cs="Calibri"/>
          <w:sz w:val="25"/>
          <w:szCs w:val="25"/>
        </w:rPr>
        <w:t>review</w:t>
      </w:r>
      <w:r w:rsidR="00904E73">
        <w:rPr>
          <w:rFonts w:ascii="Calibri" w:hAnsi="Calibri" w:cs="Calibri"/>
          <w:sz w:val="25"/>
          <w:szCs w:val="25"/>
        </w:rPr>
        <w:t xml:space="preserve"> annual </w:t>
      </w:r>
      <w:r w:rsidR="0054522A" w:rsidRPr="00F80997">
        <w:rPr>
          <w:rFonts w:ascii="Calibri" w:hAnsi="Calibri" w:cs="Calibri"/>
          <w:sz w:val="25"/>
          <w:szCs w:val="25"/>
        </w:rPr>
        <w:t>assessment</w:t>
      </w:r>
      <w:r w:rsidR="0054522A">
        <w:rPr>
          <w:rFonts w:ascii="Calibri" w:hAnsi="Calibri" w:cs="Calibri"/>
          <w:sz w:val="25"/>
          <w:szCs w:val="25"/>
        </w:rPr>
        <w:t xml:space="preserve"> </w:t>
      </w:r>
      <w:r w:rsidRPr="00F80997">
        <w:rPr>
          <w:rFonts w:ascii="Calibri" w:hAnsi="Calibri" w:cs="Calibri"/>
          <w:sz w:val="25"/>
          <w:szCs w:val="25"/>
        </w:rPr>
        <w:t>results</w:t>
      </w:r>
      <w:r w:rsidR="00BF61C1" w:rsidRPr="00F80997">
        <w:rPr>
          <w:rFonts w:ascii="Calibri" w:hAnsi="Calibri" w:cs="Calibri"/>
          <w:sz w:val="25"/>
          <w:szCs w:val="25"/>
        </w:rPr>
        <w:t>,</w:t>
      </w:r>
      <w:r w:rsidRPr="00F80997">
        <w:rPr>
          <w:rFonts w:ascii="Calibri" w:hAnsi="Calibri" w:cs="Calibri"/>
          <w:sz w:val="25"/>
          <w:szCs w:val="25"/>
        </w:rPr>
        <w:t xml:space="preserve"> </w:t>
      </w:r>
      <w:r w:rsidR="00360C17" w:rsidRPr="00F80997">
        <w:rPr>
          <w:rFonts w:ascii="Calibri" w:hAnsi="Calibri" w:cs="Calibri"/>
          <w:sz w:val="25"/>
          <w:szCs w:val="25"/>
        </w:rPr>
        <w:t xml:space="preserve">share data, </w:t>
      </w:r>
      <w:r w:rsidR="00AE6665" w:rsidRPr="00F80997">
        <w:rPr>
          <w:rFonts w:ascii="Calibri" w:hAnsi="Calibri" w:cs="Calibri"/>
          <w:sz w:val="25"/>
          <w:szCs w:val="25"/>
        </w:rPr>
        <w:t>and discuss</w:t>
      </w:r>
      <w:r w:rsidRPr="00F80997">
        <w:rPr>
          <w:rFonts w:ascii="Calibri" w:hAnsi="Calibri" w:cs="Calibri"/>
          <w:sz w:val="25"/>
          <w:szCs w:val="25"/>
        </w:rPr>
        <w:t xml:space="preserve"> recommenda</w:t>
      </w:r>
      <w:r w:rsidR="00904E73">
        <w:rPr>
          <w:rFonts w:ascii="Calibri" w:hAnsi="Calibri" w:cs="Calibri"/>
          <w:sz w:val="25"/>
          <w:szCs w:val="25"/>
        </w:rPr>
        <w:t xml:space="preserve">tions </w:t>
      </w:r>
      <w:r w:rsidR="00AE6665">
        <w:rPr>
          <w:rFonts w:ascii="Calibri" w:hAnsi="Calibri" w:cs="Calibri"/>
          <w:sz w:val="25"/>
          <w:szCs w:val="25"/>
        </w:rPr>
        <w:t xml:space="preserve">for improvements </w:t>
      </w:r>
      <w:r w:rsidR="0075727A">
        <w:rPr>
          <w:rFonts w:ascii="Calibri" w:hAnsi="Calibri" w:cs="Calibri"/>
          <w:sz w:val="25"/>
          <w:szCs w:val="25"/>
        </w:rPr>
        <w:t>as appropriate</w:t>
      </w:r>
      <w:r w:rsidR="00904E73">
        <w:rPr>
          <w:rFonts w:ascii="Calibri" w:hAnsi="Calibri" w:cs="Calibri"/>
          <w:sz w:val="25"/>
          <w:szCs w:val="25"/>
        </w:rPr>
        <w:t xml:space="preserve"> (including </w:t>
      </w:r>
      <w:r w:rsidR="00987D73">
        <w:rPr>
          <w:rFonts w:ascii="Calibri" w:hAnsi="Calibri" w:cs="Calibri"/>
          <w:sz w:val="25"/>
          <w:szCs w:val="25"/>
        </w:rPr>
        <w:t xml:space="preserve">any changes </w:t>
      </w:r>
      <w:r w:rsidR="00904E73">
        <w:rPr>
          <w:rFonts w:ascii="Calibri" w:hAnsi="Calibri" w:cs="Calibri"/>
          <w:sz w:val="25"/>
          <w:szCs w:val="25"/>
        </w:rPr>
        <w:t xml:space="preserve">to the unit’s IE Map) </w:t>
      </w:r>
    </w:p>
    <w:p w14:paraId="675D4EAC" w14:textId="745FAADC" w:rsidR="003F6C5F" w:rsidRPr="00B84777" w:rsidRDefault="00904E73" w:rsidP="009836A3">
      <w:pPr>
        <w:spacing w:before="120" w:line="228" w:lineRule="auto"/>
        <w:ind w:left="734" w:hanging="547"/>
        <w:rPr>
          <w:rFonts w:asciiTheme="minorHAnsi" w:hAnsiTheme="minorHAnsi" w:cstheme="minorHAnsi"/>
        </w:rPr>
      </w:pPr>
      <w:r w:rsidRPr="00F80997">
        <w:rPr>
          <w:rFonts w:ascii="Calibri" w:hAnsi="Calibri" w:cs="Calibr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997">
        <w:rPr>
          <w:rFonts w:ascii="Calibri" w:hAnsi="Calibri" w:cs="Calibri"/>
          <w:sz w:val="25"/>
          <w:szCs w:val="25"/>
        </w:rPr>
        <w:instrText xml:space="preserve"> FORMCHECKBOX </w:instrText>
      </w:r>
      <w:r w:rsidR="009836A3">
        <w:rPr>
          <w:rFonts w:ascii="Calibri" w:hAnsi="Calibri" w:cs="Calibri"/>
          <w:sz w:val="25"/>
          <w:szCs w:val="25"/>
        </w:rPr>
      </w:r>
      <w:r w:rsidR="009836A3">
        <w:rPr>
          <w:rFonts w:ascii="Calibri" w:hAnsi="Calibri" w:cs="Calibri"/>
          <w:sz w:val="25"/>
          <w:szCs w:val="25"/>
        </w:rPr>
        <w:fldChar w:fldCharType="separate"/>
      </w:r>
      <w:r w:rsidRPr="00F80997">
        <w:rPr>
          <w:rFonts w:ascii="Calibri" w:hAnsi="Calibri" w:cs="Calibri"/>
          <w:sz w:val="25"/>
          <w:szCs w:val="25"/>
        </w:rPr>
        <w:fldChar w:fldCharType="end"/>
      </w:r>
      <w:r w:rsidRPr="00F80997">
        <w:rPr>
          <w:rFonts w:ascii="Calibri" w:hAnsi="Calibri" w:cs="Calibri"/>
          <w:sz w:val="25"/>
          <w:szCs w:val="25"/>
        </w:rPr>
        <w:tab/>
        <w:t xml:space="preserve">has a designated </w:t>
      </w:r>
      <w:r>
        <w:rPr>
          <w:rFonts w:ascii="Calibri" w:hAnsi="Calibri" w:cs="Calibri"/>
          <w:sz w:val="25"/>
          <w:szCs w:val="25"/>
        </w:rPr>
        <w:t xml:space="preserve">process to </w:t>
      </w:r>
      <w:r w:rsidRPr="00F80997">
        <w:rPr>
          <w:rFonts w:ascii="Calibri" w:hAnsi="Calibri" w:cs="Calibri"/>
          <w:sz w:val="25"/>
          <w:szCs w:val="25"/>
        </w:rPr>
        <w:t>complete RIT’s Annual Institutional Effectiveness Progress Report</w:t>
      </w:r>
      <w:r w:rsidR="003F6C5F" w:rsidRPr="00B84777">
        <w:rPr>
          <w:rFonts w:asciiTheme="minorHAnsi" w:hAnsiTheme="minorHAnsi" w:cstheme="minorHAnsi"/>
        </w:rPr>
        <w:t>.</w:t>
      </w:r>
    </w:p>
    <w:sectPr w:rsidR="003F6C5F" w:rsidRPr="00B84777" w:rsidSect="006F59A5">
      <w:headerReference w:type="default" r:id="rId8"/>
      <w:footerReference w:type="default" r:id="rId9"/>
      <w:pgSz w:w="12240" w:h="15840"/>
      <w:pgMar w:top="1350" w:right="1170" w:bottom="432" w:left="1170" w:header="432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A8A8" w14:textId="77777777" w:rsidR="00ED0BAF" w:rsidRDefault="00ED0BAF" w:rsidP="00C8614B">
      <w:r>
        <w:separator/>
      </w:r>
    </w:p>
  </w:endnote>
  <w:endnote w:type="continuationSeparator" w:id="0">
    <w:p w14:paraId="0C8F56E2" w14:textId="77777777" w:rsidR="00ED0BAF" w:rsidRDefault="00ED0BAF" w:rsidP="00C8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93B8" w14:textId="5A241033" w:rsidR="00C8614B" w:rsidRPr="00C8614B" w:rsidRDefault="00CC7DDB" w:rsidP="003B07D8">
    <w:pPr>
      <w:pStyle w:val="Footer"/>
      <w:tabs>
        <w:tab w:val="clear" w:pos="9360"/>
        <w:tab w:val="right" w:pos="10170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©202</w:t>
    </w:r>
    <w:r w:rsidR="003D7AA7">
      <w:rPr>
        <w:rFonts w:ascii="Calibri" w:hAnsi="Calibri" w:cs="Calibri"/>
        <w:sz w:val="20"/>
        <w:szCs w:val="20"/>
      </w:rPr>
      <w:t>3</w:t>
    </w:r>
    <w:r>
      <w:rPr>
        <w:rFonts w:ascii="Calibri" w:hAnsi="Calibri" w:cs="Calibri"/>
        <w:sz w:val="20"/>
        <w:szCs w:val="20"/>
      </w:rPr>
      <w:t>. Rochester Institute of Technology. All rights reserved.</w:t>
    </w:r>
  </w:p>
  <w:p w14:paraId="37FDF0FB" w14:textId="77777777" w:rsidR="00C8614B" w:rsidRDefault="00C8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0128E" w14:textId="77777777" w:rsidR="00ED0BAF" w:rsidRDefault="00ED0BAF" w:rsidP="00C8614B">
      <w:r>
        <w:separator/>
      </w:r>
    </w:p>
  </w:footnote>
  <w:footnote w:type="continuationSeparator" w:id="0">
    <w:p w14:paraId="7E5B148C" w14:textId="77777777" w:rsidR="00ED0BAF" w:rsidRDefault="00ED0BAF" w:rsidP="00C8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75C6" w14:textId="225790B5" w:rsidR="00CC7DDB" w:rsidRDefault="006F59A5">
    <w:pPr>
      <w:pStyle w:val="Header"/>
    </w:pPr>
    <w:r>
      <w:rPr>
        <w:noProof/>
      </w:rPr>
      <w:drawing>
        <wp:inline distT="0" distB="0" distL="0" distR="0" wp14:anchorId="145728B4" wp14:editId="0DCAE2B5">
          <wp:extent cx="3232150" cy="473075"/>
          <wp:effectExtent l="0" t="0" r="6350" b="317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Office of Educational Effectiveness Assessment_716C_hor_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5C"/>
    <w:multiLevelType w:val="hybridMultilevel"/>
    <w:tmpl w:val="F0DE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00739"/>
    <w:multiLevelType w:val="hybridMultilevel"/>
    <w:tmpl w:val="83303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B5A26"/>
    <w:multiLevelType w:val="hybridMultilevel"/>
    <w:tmpl w:val="7B6EC1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73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242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B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2BD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001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81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AD6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22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61D6"/>
    <w:multiLevelType w:val="hybridMultilevel"/>
    <w:tmpl w:val="1D801CCC"/>
    <w:lvl w:ilvl="0" w:tplc="1D360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C5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5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A3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3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5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81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AA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C9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wNzc2MDYyNTADIiUdpeDU4uLM/DyQAsNaAMz7JR8sAAAA"/>
  </w:docVars>
  <w:rsids>
    <w:rsidRoot w:val="00F5796C"/>
    <w:rsid w:val="00032F5F"/>
    <w:rsid w:val="00051324"/>
    <w:rsid w:val="00054B4B"/>
    <w:rsid w:val="000C025D"/>
    <w:rsid w:val="000D0C2B"/>
    <w:rsid w:val="000D4BDD"/>
    <w:rsid w:val="000F447F"/>
    <w:rsid w:val="000F542F"/>
    <w:rsid w:val="0018505E"/>
    <w:rsid w:val="001B0FED"/>
    <w:rsid w:val="001E745A"/>
    <w:rsid w:val="002017B9"/>
    <w:rsid w:val="002825BE"/>
    <w:rsid w:val="002A0D4A"/>
    <w:rsid w:val="002B7D49"/>
    <w:rsid w:val="002C20AE"/>
    <w:rsid w:val="00317941"/>
    <w:rsid w:val="00317ADA"/>
    <w:rsid w:val="00334872"/>
    <w:rsid w:val="00360C17"/>
    <w:rsid w:val="003644ED"/>
    <w:rsid w:val="00381DF1"/>
    <w:rsid w:val="003A16D9"/>
    <w:rsid w:val="003B07D8"/>
    <w:rsid w:val="003C59A1"/>
    <w:rsid w:val="003D7AA7"/>
    <w:rsid w:val="003F26DF"/>
    <w:rsid w:val="003F6C5F"/>
    <w:rsid w:val="00483DAA"/>
    <w:rsid w:val="00492A39"/>
    <w:rsid w:val="004A5825"/>
    <w:rsid w:val="004B1A0E"/>
    <w:rsid w:val="004B2AEB"/>
    <w:rsid w:val="004B6D38"/>
    <w:rsid w:val="00521277"/>
    <w:rsid w:val="0054522A"/>
    <w:rsid w:val="00552FF2"/>
    <w:rsid w:val="00586850"/>
    <w:rsid w:val="005B2DFF"/>
    <w:rsid w:val="005F50C9"/>
    <w:rsid w:val="006473FD"/>
    <w:rsid w:val="00672C06"/>
    <w:rsid w:val="006F59A5"/>
    <w:rsid w:val="0070721C"/>
    <w:rsid w:val="00743C8A"/>
    <w:rsid w:val="0075727A"/>
    <w:rsid w:val="007B20E3"/>
    <w:rsid w:val="008200AB"/>
    <w:rsid w:val="008700D3"/>
    <w:rsid w:val="008976BB"/>
    <w:rsid w:val="00904E73"/>
    <w:rsid w:val="00941EA7"/>
    <w:rsid w:val="009779EC"/>
    <w:rsid w:val="00980582"/>
    <w:rsid w:val="009836A3"/>
    <w:rsid w:val="00987D73"/>
    <w:rsid w:val="00A22503"/>
    <w:rsid w:val="00A3730A"/>
    <w:rsid w:val="00A46EB3"/>
    <w:rsid w:val="00A955A6"/>
    <w:rsid w:val="00AE5788"/>
    <w:rsid w:val="00AE6665"/>
    <w:rsid w:val="00B535ED"/>
    <w:rsid w:val="00B64E5B"/>
    <w:rsid w:val="00B816DD"/>
    <w:rsid w:val="00B84777"/>
    <w:rsid w:val="00B848B7"/>
    <w:rsid w:val="00B93673"/>
    <w:rsid w:val="00BD77E8"/>
    <w:rsid w:val="00BF61C1"/>
    <w:rsid w:val="00C24473"/>
    <w:rsid w:val="00C352F2"/>
    <w:rsid w:val="00C71589"/>
    <w:rsid w:val="00C8614B"/>
    <w:rsid w:val="00CC7DDB"/>
    <w:rsid w:val="00CF6C26"/>
    <w:rsid w:val="00D00ED1"/>
    <w:rsid w:val="00D10EBC"/>
    <w:rsid w:val="00D564E0"/>
    <w:rsid w:val="00D8200C"/>
    <w:rsid w:val="00DB544A"/>
    <w:rsid w:val="00DC5D2B"/>
    <w:rsid w:val="00DC6C23"/>
    <w:rsid w:val="00DD0341"/>
    <w:rsid w:val="00E10C2B"/>
    <w:rsid w:val="00E34F77"/>
    <w:rsid w:val="00E463E1"/>
    <w:rsid w:val="00E563F1"/>
    <w:rsid w:val="00ED0BAF"/>
    <w:rsid w:val="00EF5011"/>
    <w:rsid w:val="00F1186E"/>
    <w:rsid w:val="00F216FA"/>
    <w:rsid w:val="00F50219"/>
    <w:rsid w:val="00F564CA"/>
    <w:rsid w:val="00F5796C"/>
    <w:rsid w:val="00F64B2A"/>
    <w:rsid w:val="00F80997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74AC22"/>
  <w15:docId w15:val="{B2B58C55-A9E1-43D0-8163-E22FF64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5796C"/>
    <w:rPr>
      <w:color w:val="800080"/>
      <w:u w:val="single"/>
    </w:rPr>
  </w:style>
  <w:style w:type="character" w:styleId="CommentReference">
    <w:name w:val="annotation reference"/>
    <w:rsid w:val="00BF6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1C1"/>
  </w:style>
  <w:style w:type="paragraph" w:styleId="CommentSubject">
    <w:name w:val="annotation subject"/>
    <w:basedOn w:val="CommentText"/>
    <w:next w:val="CommentText"/>
    <w:link w:val="CommentSubjectChar"/>
    <w:rsid w:val="00BF61C1"/>
    <w:rPr>
      <w:b/>
      <w:bCs/>
    </w:rPr>
  </w:style>
  <w:style w:type="character" w:customStyle="1" w:styleId="CommentSubjectChar">
    <w:name w:val="Comment Subject Char"/>
    <w:link w:val="CommentSubject"/>
    <w:rsid w:val="00BF61C1"/>
    <w:rPr>
      <w:b/>
      <w:bCs/>
    </w:rPr>
  </w:style>
  <w:style w:type="paragraph" w:styleId="BalloonText">
    <w:name w:val="Balloon Text"/>
    <w:basedOn w:val="Normal"/>
    <w:link w:val="BalloonTextChar"/>
    <w:rsid w:val="00BF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6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61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6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14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0ED1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B847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7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774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8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644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t.edu/strategic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PLANNING CHECKLIST</vt:lpstr>
    </vt:vector>
  </TitlesOfParts>
  <Company>California Polytechnic State University</Company>
  <LinksUpToDate>false</LinksUpToDate>
  <CharactersWithSpaces>2426</CharactersWithSpaces>
  <SharedDoc>false</SharedDoc>
  <HLinks>
    <vt:vector size="6" baseType="variant">
      <vt:variant>
        <vt:i4>196692</vt:i4>
      </vt:variant>
      <vt:variant>
        <vt:i4>22</vt:i4>
      </vt:variant>
      <vt:variant>
        <vt:i4>0</vt:i4>
      </vt:variant>
      <vt:variant>
        <vt:i4>5</vt:i4>
      </vt:variant>
      <vt:variant>
        <vt:lpwstr>http://www.rit.edu/outcomes/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PLANNING CHECKLIST</dc:title>
  <dc:creator>ITS-USS</dc:creator>
  <cp:lastModifiedBy>Leah Bradley</cp:lastModifiedBy>
  <cp:revision>4</cp:revision>
  <dcterms:created xsi:type="dcterms:W3CDTF">2023-04-27T15:17:00Z</dcterms:created>
  <dcterms:modified xsi:type="dcterms:W3CDTF">2023-07-17T14:23:00Z</dcterms:modified>
</cp:coreProperties>
</file>